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7030A0"/>
        </w:rPr>
        <w:id w:val="1396165826"/>
        <w:docPartObj>
          <w:docPartGallery w:val="Cover Pages"/>
          <w:docPartUnique/>
        </w:docPartObj>
      </w:sdtPr>
      <w:sdtEndPr/>
      <w:sdtContent>
        <w:p w:rsidR="0049164E" w:rsidRDefault="005C5414">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0CDD36" id="Rectangle 4" o:spid="_x0000_s1026" alt="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F549E8" w:rsidRPr="00DA2B39" w:rsidRDefault="00F549E8">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2310</w:t>
                                    </w:r>
                                  </w:p>
                                </w:sdtContent>
                              </w:sdt>
                              <w:p w:rsidR="00F549E8" w:rsidRDefault="00F549E8">
                                <w:pPr>
                                  <w:pStyle w:val="Sansinterligne"/>
                                  <w:rPr>
                                    <w:color w:val="612C51" w:themeColor="accent1"/>
                                    <w:sz w:val="52"/>
                                    <w:szCs w:val="40"/>
                                  </w:rPr>
                                </w:pPr>
                                <w:r w:rsidRPr="002A06C9">
                                  <w:rPr>
                                    <w:color w:val="612C51" w:themeColor="accent1"/>
                                    <w:sz w:val="52"/>
                                    <w:szCs w:val="40"/>
                                  </w:rPr>
                                  <w:t>Contrôle des comptes consolidés IFRS</w:t>
                                </w:r>
                              </w:p>
                              <w:p w:rsidR="00F549E8" w:rsidRPr="00DA2B39" w:rsidRDefault="004244E0">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F549E8" w:rsidRPr="00DC5CD9">
                                      <w:rPr>
                                        <w:b/>
                                        <w:color w:val="612C51" w:themeColor="accent1"/>
                                        <w:sz w:val="40"/>
                                      </w:rPr>
                                      <w:t>Présentation générale et normes transversales</w:t>
                                    </w:r>
                                  </w:sdtContent>
                                </w:sdt>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Default="00F549E8">
                                <w:pPr>
                                  <w:pStyle w:val="Sansinterligne"/>
                                  <w:rPr>
                                    <w:noProof/>
                                    <w:color w:val="612C51" w:themeColor="accent1"/>
                                    <w:sz w:val="20"/>
                                    <w:szCs w:val="20"/>
                                    <w:lang w:eastAsia="fr-FR"/>
                                  </w:rPr>
                                </w:pPr>
                              </w:p>
                              <w:p w:rsidR="00F549E8" w:rsidRDefault="00F549E8">
                                <w:pPr>
                                  <w:pStyle w:val="Sansinterligne"/>
                                  <w:rPr>
                                    <w:noProof/>
                                    <w:color w:val="612C51" w:themeColor="accent1"/>
                                    <w:sz w:val="20"/>
                                    <w:szCs w:val="20"/>
                                    <w:lang w:eastAsia="fr-FR"/>
                                  </w:rPr>
                                </w:pPr>
                              </w:p>
                              <w:p w:rsidR="00F549E8"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EFC780E"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F549E8" w:rsidRPr="00DA2B39" w:rsidRDefault="00F549E8">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2310</w:t>
                              </w:r>
                            </w:p>
                          </w:sdtContent>
                        </w:sdt>
                        <w:p w:rsidR="00F549E8" w:rsidRDefault="00F549E8">
                          <w:pPr>
                            <w:pStyle w:val="Sansinterligne"/>
                            <w:rPr>
                              <w:color w:val="612C51" w:themeColor="accent1"/>
                              <w:sz w:val="52"/>
                              <w:szCs w:val="40"/>
                            </w:rPr>
                          </w:pPr>
                          <w:r w:rsidRPr="002A06C9">
                            <w:rPr>
                              <w:color w:val="612C51" w:themeColor="accent1"/>
                              <w:sz w:val="52"/>
                              <w:szCs w:val="40"/>
                            </w:rPr>
                            <w:t>Contrôle des comptes consolidés IFRS</w:t>
                          </w:r>
                        </w:p>
                        <w:p w:rsidR="00F549E8" w:rsidRPr="00DA2B39" w:rsidRDefault="004244E0">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F549E8" w:rsidRPr="00DC5CD9">
                                <w:rPr>
                                  <w:b/>
                                  <w:color w:val="612C51" w:themeColor="accent1"/>
                                  <w:sz w:val="40"/>
                                </w:rPr>
                                <w:t>Présentation générale et normes transversales</w:t>
                              </w:r>
                            </w:sdtContent>
                          </w:sdt>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Default="00F549E8">
                          <w:pPr>
                            <w:pStyle w:val="Sansinterligne"/>
                            <w:rPr>
                              <w:noProof/>
                              <w:color w:val="612C51" w:themeColor="accent1"/>
                              <w:sz w:val="20"/>
                              <w:szCs w:val="20"/>
                              <w:lang w:eastAsia="fr-FR"/>
                            </w:rPr>
                          </w:pPr>
                        </w:p>
                        <w:p w:rsidR="00F549E8" w:rsidRDefault="00F549E8">
                          <w:pPr>
                            <w:pStyle w:val="Sansinterligne"/>
                            <w:rPr>
                              <w:noProof/>
                              <w:color w:val="612C51" w:themeColor="accent1"/>
                              <w:sz w:val="20"/>
                              <w:szCs w:val="20"/>
                              <w:lang w:eastAsia="fr-FR"/>
                            </w:rPr>
                          </w:pPr>
                        </w:p>
                        <w:p w:rsidR="00F549E8"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pPr>
                            <w:pStyle w:val="Sansinterligne"/>
                            <w:rPr>
                              <w:noProof/>
                              <w:color w:val="612C51" w:themeColor="accent1"/>
                              <w:sz w:val="20"/>
                              <w:szCs w:val="20"/>
                              <w:lang w:eastAsia="fr-FR"/>
                            </w:rPr>
                          </w:pPr>
                        </w:p>
                        <w:p w:rsidR="00F549E8" w:rsidRPr="00DA2B39" w:rsidRDefault="00F549E8"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F549E8" w:rsidRDefault="00DC5CD9">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9896266" w:history="1">
        <w:r w:rsidR="00F549E8" w:rsidRPr="002A2919">
          <w:rPr>
            <w:rStyle w:val="Lienhypertexte"/>
          </w:rPr>
          <w:t>Section 100.</w:t>
        </w:r>
        <w:r w:rsidR="00F549E8">
          <w:rPr>
            <w:rFonts w:eastAsiaTheme="minorEastAsia"/>
            <w:b w:val="0"/>
            <w:color w:val="auto"/>
            <w:sz w:val="22"/>
            <w:lang w:eastAsia="fr-FR"/>
          </w:rPr>
          <w:tab/>
        </w:r>
        <w:r w:rsidR="00F549E8" w:rsidRPr="002A2919">
          <w:rPr>
            <w:rStyle w:val="Lienhypertexte"/>
          </w:rPr>
          <w:t>Présentation générale</w:t>
        </w:r>
        <w:r w:rsidR="00F549E8">
          <w:rPr>
            <w:webHidden/>
          </w:rPr>
          <w:tab/>
        </w:r>
        <w:r w:rsidR="00F549E8">
          <w:rPr>
            <w:webHidden/>
          </w:rPr>
          <w:fldChar w:fldCharType="begin"/>
        </w:r>
        <w:r w:rsidR="00F549E8">
          <w:rPr>
            <w:webHidden/>
          </w:rPr>
          <w:instrText xml:space="preserve"> PAGEREF _Toc459896266 \h </w:instrText>
        </w:r>
        <w:r w:rsidR="00F549E8">
          <w:rPr>
            <w:webHidden/>
          </w:rPr>
        </w:r>
        <w:r w:rsidR="00F549E8">
          <w:rPr>
            <w:webHidden/>
          </w:rPr>
          <w:fldChar w:fldCharType="separate"/>
        </w:r>
        <w:r w:rsidR="00F549E8">
          <w:rPr>
            <w:webHidden/>
          </w:rPr>
          <w:t>5</w:t>
        </w:r>
        <w:r w:rsidR="00F549E8">
          <w:rPr>
            <w:webHidden/>
          </w:rPr>
          <w:fldChar w:fldCharType="end"/>
        </w:r>
      </w:hyperlink>
    </w:p>
    <w:p w:rsidR="00F549E8" w:rsidRDefault="004244E0">
      <w:pPr>
        <w:pStyle w:val="TM1"/>
        <w:rPr>
          <w:rFonts w:eastAsiaTheme="minorEastAsia"/>
          <w:b w:val="0"/>
          <w:color w:val="auto"/>
          <w:sz w:val="22"/>
          <w:lang w:eastAsia="fr-FR"/>
        </w:rPr>
      </w:pPr>
      <w:hyperlink w:anchor="_Toc459896267" w:history="1">
        <w:r w:rsidR="00F549E8" w:rsidRPr="002A2919">
          <w:rPr>
            <w:rStyle w:val="Lienhypertexte"/>
          </w:rPr>
          <w:t>Section 110.</w:t>
        </w:r>
        <w:r w:rsidR="00F549E8">
          <w:rPr>
            <w:rFonts w:eastAsiaTheme="minorEastAsia"/>
            <w:b w:val="0"/>
            <w:color w:val="auto"/>
            <w:sz w:val="22"/>
            <w:lang w:eastAsia="fr-FR"/>
          </w:rPr>
          <w:tab/>
        </w:r>
        <w:r w:rsidR="00F549E8" w:rsidRPr="002A2919">
          <w:rPr>
            <w:rStyle w:val="Lienhypertexte"/>
          </w:rPr>
          <w:t>Préambule des normes IFRS</w:t>
        </w:r>
        <w:r w:rsidR="00F549E8">
          <w:rPr>
            <w:webHidden/>
          </w:rPr>
          <w:tab/>
        </w:r>
        <w:r w:rsidR="00F549E8">
          <w:rPr>
            <w:webHidden/>
          </w:rPr>
          <w:fldChar w:fldCharType="begin"/>
        </w:r>
        <w:r w:rsidR="00F549E8">
          <w:rPr>
            <w:webHidden/>
          </w:rPr>
          <w:instrText xml:space="preserve"> PAGEREF _Toc459896267 \h </w:instrText>
        </w:r>
        <w:r w:rsidR="00F549E8">
          <w:rPr>
            <w:webHidden/>
          </w:rPr>
        </w:r>
        <w:r w:rsidR="00F549E8">
          <w:rPr>
            <w:webHidden/>
          </w:rPr>
          <w:fldChar w:fldCharType="separate"/>
        </w:r>
        <w:r w:rsidR="00F549E8">
          <w:rPr>
            <w:webHidden/>
          </w:rPr>
          <w:t>5</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68"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_Toc459896268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69"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_Toc459896269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70"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_Toc459896270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71"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_Toc459896271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72"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_Toc459896272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73"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_Toc459896273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74"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_Toc459896274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75"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_Toc459896275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76"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_Toc459896276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77"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_Toc459896277 \h </w:instrText>
        </w:r>
        <w:r w:rsidR="00F549E8">
          <w:rPr>
            <w:noProof/>
            <w:webHidden/>
          </w:rPr>
        </w:r>
        <w:r w:rsidR="00F549E8">
          <w:rPr>
            <w:noProof/>
            <w:webHidden/>
          </w:rPr>
          <w:fldChar w:fldCharType="separate"/>
        </w:r>
        <w:r w:rsidR="00F549E8">
          <w:rPr>
            <w:noProof/>
            <w:webHidden/>
          </w:rPr>
          <w:t>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78"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le texte</w:t>
        </w:r>
        <w:r w:rsidR="00F549E8">
          <w:rPr>
            <w:noProof/>
            <w:webHidden/>
          </w:rPr>
          <w:tab/>
        </w:r>
        <w:r w:rsidR="00F549E8">
          <w:rPr>
            <w:noProof/>
            <w:webHidden/>
          </w:rPr>
          <w:fldChar w:fldCharType="begin"/>
        </w:r>
        <w:r w:rsidR="00F549E8">
          <w:rPr>
            <w:noProof/>
            <w:webHidden/>
          </w:rPr>
          <w:instrText xml:space="preserve"> PAGEREF _Toc459896278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79"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_Toc459896279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280" w:history="1">
        <w:r w:rsidR="00F549E8" w:rsidRPr="002A2919">
          <w:rPr>
            <w:rStyle w:val="Lienhypertexte"/>
          </w:rPr>
          <w:t>Section 120.</w:t>
        </w:r>
        <w:r w:rsidR="00F549E8">
          <w:rPr>
            <w:rFonts w:eastAsiaTheme="minorEastAsia"/>
            <w:b w:val="0"/>
            <w:color w:val="auto"/>
            <w:sz w:val="22"/>
            <w:lang w:eastAsia="fr-FR"/>
          </w:rPr>
          <w:tab/>
        </w:r>
        <w:r w:rsidR="00F549E8" w:rsidRPr="002A2919">
          <w:rPr>
            <w:rStyle w:val="Lienhypertexte"/>
          </w:rPr>
          <w:t>Cadre conceptuel des normes IFRS</w:t>
        </w:r>
        <w:r w:rsidR="00F549E8">
          <w:rPr>
            <w:webHidden/>
          </w:rPr>
          <w:tab/>
        </w:r>
        <w:r w:rsidR="00F549E8">
          <w:rPr>
            <w:webHidden/>
          </w:rPr>
          <w:fldChar w:fldCharType="begin"/>
        </w:r>
        <w:r w:rsidR="00F549E8">
          <w:rPr>
            <w:webHidden/>
          </w:rPr>
          <w:instrText xml:space="preserve"> PAGEREF _Toc459896280 \h </w:instrText>
        </w:r>
        <w:r w:rsidR="00F549E8">
          <w:rPr>
            <w:webHidden/>
          </w:rPr>
        </w:r>
        <w:r w:rsidR="00F549E8">
          <w:rPr>
            <w:webHidden/>
          </w:rPr>
          <w:fldChar w:fldCharType="separate"/>
        </w:r>
        <w:r w:rsidR="00F549E8">
          <w:rPr>
            <w:webHidden/>
          </w:rPr>
          <w:t>6</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81"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_Toc459896281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82"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_Toc459896282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83"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_Toc459896283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84"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_Toc459896284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85"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_Toc459896285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86"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_Toc459896286 \h </w:instrText>
        </w:r>
        <w:r w:rsidR="00F549E8">
          <w:rPr>
            <w:noProof/>
            <w:webHidden/>
          </w:rPr>
        </w:r>
        <w:r w:rsidR="00F549E8">
          <w:rPr>
            <w:noProof/>
            <w:webHidden/>
          </w:rPr>
          <w:fldChar w:fldCharType="separate"/>
        </w:r>
        <w:r w:rsidR="00F549E8">
          <w:rPr>
            <w:noProof/>
            <w:webHidden/>
          </w:rPr>
          <w:t>6</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87"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_Toc459896287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88"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_Toc459896288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89"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_Toc459896289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90"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_Toc459896290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91"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le texte</w:t>
        </w:r>
        <w:r w:rsidR="00F549E8">
          <w:rPr>
            <w:noProof/>
            <w:webHidden/>
          </w:rPr>
          <w:tab/>
        </w:r>
        <w:r w:rsidR="00F549E8">
          <w:rPr>
            <w:noProof/>
            <w:webHidden/>
          </w:rPr>
          <w:fldChar w:fldCharType="begin"/>
        </w:r>
        <w:r w:rsidR="00F549E8">
          <w:rPr>
            <w:noProof/>
            <w:webHidden/>
          </w:rPr>
          <w:instrText xml:space="preserve"> PAGEREF _Toc459896291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92"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_Toc459896292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293" w:history="1">
        <w:r w:rsidR="00F549E8" w:rsidRPr="002A2919">
          <w:rPr>
            <w:rStyle w:val="Lienhypertexte"/>
          </w:rPr>
          <w:t>Section 200.</w:t>
        </w:r>
        <w:r w:rsidR="00F549E8">
          <w:rPr>
            <w:rFonts w:eastAsiaTheme="minorEastAsia"/>
            <w:b w:val="0"/>
            <w:color w:val="auto"/>
            <w:sz w:val="22"/>
            <w:lang w:eastAsia="fr-FR"/>
          </w:rPr>
          <w:tab/>
        </w:r>
        <w:r w:rsidR="00F549E8" w:rsidRPr="002A2919">
          <w:rPr>
            <w:rStyle w:val="Lienhypertexte"/>
          </w:rPr>
          <w:t>IFRS 1 – Première adoption des normes ifrs</w:t>
        </w:r>
        <w:r w:rsidR="00F549E8">
          <w:rPr>
            <w:webHidden/>
          </w:rPr>
          <w:tab/>
        </w:r>
        <w:r w:rsidR="00F549E8">
          <w:rPr>
            <w:webHidden/>
          </w:rPr>
          <w:fldChar w:fldCharType="begin"/>
        </w:r>
        <w:r w:rsidR="00F549E8">
          <w:rPr>
            <w:webHidden/>
          </w:rPr>
          <w:instrText xml:space="preserve"> PAGEREF _Toc459896293 \h </w:instrText>
        </w:r>
        <w:r w:rsidR="00F549E8">
          <w:rPr>
            <w:webHidden/>
          </w:rPr>
        </w:r>
        <w:r w:rsidR="00F549E8">
          <w:rPr>
            <w:webHidden/>
          </w:rPr>
          <w:fldChar w:fldCharType="separate"/>
        </w:r>
        <w:r w:rsidR="00F549E8">
          <w:rPr>
            <w:webHidden/>
          </w:rPr>
          <w:t>7</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94"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_Toc459896294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95"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_Toc459896295 \h </w:instrText>
        </w:r>
        <w:r w:rsidR="00F549E8">
          <w:rPr>
            <w:noProof/>
            <w:webHidden/>
          </w:rPr>
        </w:r>
        <w:r w:rsidR="00F549E8">
          <w:rPr>
            <w:noProof/>
            <w:webHidden/>
          </w:rPr>
          <w:fldChar w:fldCharType="separate"/>
        </w:r>
        <w:r w:rsidR="00F549E8">
          <w:rPr>
            <w:noProof/>
            <w:webHidden/>
          </w:rPr>
          <w:t>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96"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_Toc459896296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97"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_Toc459896297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298"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_Toc459896298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299"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_Toc459896299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00"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_Toc459896300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01"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_Toc459896301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02"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_Toc459896302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03"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_Toc459896303 \h </w:instrText>
        </w:r>
        <w:r w:rsidR="00F549E8">
          <w:rPr>
            <w:noProof/>
            <w:webHidden/>
          </w:rPr>
        </w:r>
        <w:r w:rsidR="00F549E8">
          <w:rPr>
            <w:noProof/>
            <w:webHidden/>
          </w:rPr>
          <w:fldChar w:fldCharType="separate"/>
        </w:r>
        <w:r w:rsidR="00F549E8">
          <w:rPr>
            <w:noProof/>
            <w:webHidden/>
          </w:rPr>
          <w:t>10</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04"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la norme</w:t>
        </w:r>
        <w:r w:rsidR="00F549E8">
          <w:rPr>
            <w:noProof/>
            <w:webHidden/>
          </w:rPr>
          <w:tab/>
        </w:r>
        <w:r w:rsidR="00F549E8">
          <w:rPr>
            <w:noProof/>
            <w:webHidden/>
          </w:rPr>
          <w:fldChar w:fldCharType="begin"/>
        </w:r>
        <w:r w:rsidR="00F549E8">
          <w:rPr>
            <w:noProof/>
            <w:webHidden/>
          </w:rPr>
          <w:instrText xml:space="preserve"> PAGEREF _Toc459896304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05"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_Toc459896305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06" w:history="1">
        <w:r w:rsidR="00F549E8" w:rsidRPr="002A2919">
          <w:rPr>
            <w:rStyle w:val="Lienhypertexte"/>
          </w:rPr>
          <w:t>Section 300.</w:t>
        </w:r>
        <w:r w:rsidR="00F549E8">
          <w:rPr>
            <w:rFonts w:eastAsiaTheme="minorEastAsia"/>
            <w:b w:val="0"/>
            <w:color w:val="auto"/>
            <w:sz w:val="22"/>
            <w:lang w:eastAsia="fr-FR"/>
          </w:rPr>
          <w:tab/>
        </w:r>
        <w:r w:rsidR="00F549E8" w:rsidRPr="002A2919">
          <w:rPr>
            <w:rStyle w:val="Lienhypertexte"/>
          </w:rPr>
          <w:t>IFRS 13 – Evaluation a la juste valeur</w:t>
        </w:r>
        <w:r w:rsidR="00F549E8">
          <w:rPr>
            <w:webHidden/>
          </w:rPr>
          <w:tab/>
        </w:r>
        <w:r w:rsidR="00F549E8">
          <w:rPr>
            <w:webHidden/>
          </w:rPr>
          <w:fldChar w:fldCharType="begin"/>
        </w:r>
        <w:r w:rsidR="00F549E8">
          <w:rPr>
            <w:webHidden/>
          </w:rPr>
          <w:instrText xml:space="preserve"> PAGEREF _Toc459896306 \h </w:instrText>
        </w:r>
        <w:r w:rsidR="00F549E8">
          <w:rPr>
            <w:webHidden/>
          </w:rPr>
        </w:r>
        <w:r w:rsidR="00F549E8">
          <w:rPr>
            <w:webHidden/>
          </w:rPr>
          <w:fldChar w:fldCharType="separate"/>
        </w:r>
        <w:r w:rsidR="00F549E8">
          <w:rPr>
            <w:webHidden/>
          </w:rPr>
          <w:t>11</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07"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_Toc459896307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08"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_Toc459896308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09"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_Toc459896309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10"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_Toc459896310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11"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_Toc459896311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12"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_Toc459896312 \h </w:instrText>
        </w:r>
        <w:r w:rsidR="00F549E8">
          <w:rPr>
            <w:noProof/>
            <w:webHidden/>
          </w:rPr>
        </w:r>
        <w:r w:rsidR="00F549E8">
          <w:rPr>
            <w:noProof/>
            <w:webHidden/>
          </w:rPr>
          <w:fldChar w:fldCharType="separate"/>
        </w:r>
        <w:r w:rsidR="00F549E8">
          <w:rPr>
            <w:noProof/>
            <w:webHidden/>
          </w:rPr>
          <w:t>11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13"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_Toc459896313 \h </w:instrText>
        </w:r>
        <w:r w:rsidR="00F549E8">
          <w:rPr>
            <w:noProof/>
            <w:webHidden/>
          </w:rPr>
        </w:r>
        <w:r w:rsidR="00F549E8">
          <w:rPr>
            <w:noProof/>
            <w:webHidden/>
          </w:rPr>
          <w:fldChar w:fldCharType="separate"/>
        </w:r>
        <w:r w:rsidR="00F549E8">
          <w:rPr>
            <w:noProof/>
            <w:webHidden/>
          </w:rPr>
          <w:t>12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14"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_Toc459896314 \h </w:instrText>
        </w:r>
        <w:r w:rsidR="00F549E8">
          <w:rPr>
            <w:noProof/>
            <w:webHidden/>
          </w:rPr>
        </w:r>
        <w:r w:rsidR="00F549E8">
          <w:rPr>
            <w:noProof/>
            <w:webHidden/>
          </w:rPr>
          <w:fldChar w:fldCharType="separate"/>
        </w:r>
        <w:r w:rsidR="00F549E8">
          <w:rPr>
            <w:noProof/>
            <w:webHidden/>
          </w:rPr>
          <w:t>12</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15"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_Toc459896315 \h </w:instrText>
        </w:r>
        <w:r w:rsidR="00F549E8">
          <w:rPr>
            <w:noProof/>
            <w:webHidden/>
          </w:rPr>
        </w:r>
        <w:r w:rsidR="00F549E8">
          <w:rPr>
            <w:noProof/>
            <w:webHidden/>
          </w:rPr>
          <w:fldChar w:fldCharType="separate"/>
        </w:r>
        <w:r w:rsidR="00F549E8">
          <w:rPr>
            <w:noProof/>
            <w:webHidden/>
          </w:rPr>
          <w:t>12</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16"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_Toc459896316 \h </w:instrText>
        </w:r>
        <w:r w:rsidR="00F549E8">
          <w:rPr>
            <w:noProof/>
            <w:webHidden/>
          </w:rPr>
        </w:r>
        <w:r w:rsidR="00F549E8">
          <w:rPr>
            <w:noProof/>
            <w:webHidden/>
          </w:rPr>
          <w:fldChar w:fldCharType="separate"/>
        </w:r>
        <w:r w:rsidR="00F549E8">
          <w:rPr>
            <w:noProof/>
            <w:webHidden/>
          </w:rPr>
          <w:t>12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17"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la norme</w:t>
        </w:r>
        <w:r w:rsidR="00F549E8">
          <w:rPr>
            <w:noProof/>
            <w:webHidden/>
          </w:rPr>
          <w:tab/>
        </w:r>
        <w:r w:rsidR="00F549E8">
          <w:rPr>
            <w:noProof/>
            <w:webHidden/>
          </w:rPr>
          <w:fldChar w:fldCharType="begin"/>
        </w:r>
        <w:r w:rsidR="00F549E8">
          <w:rPr>
            <w:noProof/>
            <w:webHidden/>
          </w:rPr>
          <w:instrText xml:space="preserve"> PAGEREF _Toc459896317 \h </w:instrText>
        </w:r>
        <w:r w:rsidR="00F549E8">
          <w:rPr>
            <w:noProof/>
            <w:webHidden/>
          </w:rPr>
        </w:r>
        <w:r w:rsidR="00F549E8">
          <w:rPr>
            <w:noProof/>
            <w:webHidden/>
          </w:rPr>
          <w:fldChar w:fldCharType="separate"/>
        </w:r>
        <w:r w:rsidR="00F549E8">
          <w:rPr>
            <w:noProof/>
            <w:webHidden/>
          </w:rPr>
          <w:t>12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18"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_Toc459896318 \h </w:instrText>
        </w:r>
        <w:r w:rsidR="00F549E8">
          <w:rPr>
            <w:noProof/>
            <w:webHidden/>
          </w:rPr>
        </w:r>
        <w:r w:rsidR="00F549E8">
          <w:rPr>
            <w:noProof/>
            <w:webHidden/>
          </w:rPr>
          <w:fldChar w:fldCharType="separate"/>
        </w:r>
        <w:r w:rsidR="00F549E8">
          <w:rPr>
            <w:noProof/>
            <w:webHidden/>
          </w:rPr>
          <w:t>12</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19" w:history="1">
        <w:r w:rsidR="00F549E8" w:rsidRPr="002A2919">
          <w:rPr>
            <w:rStyle w:val="Lienhypertexte"/>
          </w:rPr>
          <w:t>Section 400.</w:t>
        </w:r>
        <w:r w:rsidR="00F549E8">
          <w:rPr>
            <w:rFonts w:eastAsiaTheme="minorEastAsia"/>
            <w:b w:val="0"/>
            <w:color w:val="auto"/>
            <w:sz w:val="22"/>
            <w:lang w:eastAsia="fr-FR"/>
          </w:rPr>
          <w:tab/>
        </w:r>
        <w:r w:rsidR="00F549E8" w:rsidRPr="002A2919">
          <w:rPr>
            <w:rStyle w:val="Lienhypertexte"/>
          </w:rPr>
          <w:t>IAS 8 – Méthodes comptables, changements comptables et erreurs</w:t>
        </w:r>
        <w:r w:rsidR="00F549E8">
          <w:rPr>
            <w:webHidden/>
          </w:rPr>
          <w:tab/>
        </w:r>
        <w:r w:rsidR="00F549E8">
          <w:rPr>
            <w:webHidden/>
          </w:rPr>
          <w:fldChar w:fldCharType="begin"/>
        </w:r>
        <w:r w:rsidR="00F549E8">
          <w:rPr>
            <w:webHidden/>
          </w:rPr>
          <w:instrText xml:space="preserve"> PAGEREF _Toc459896319 \h </w:instrText>
        </w:r>
        <w:r w:rsidR="00F549E8">
          <w:rPr>
            <w:webHidden/>
          </w:rPr>
        </w:r>
        <w:r w:rsidR="00F549E8">
          <w:rPr>
            <w:webHidden/>
          </w:rPr>
          <w:fldChar w:fldCharType="separate"/>
        </w:r>
        <w:r w:rsidR="00F549E8">
          <w:rPr>
            <w:webHidden/>
          </w:rPr>
          <w:t>13</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20"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_Toc459896320 \h </w:instrText>
        </w:r>
        <w:r w:rsidR="00F549E8">
          <w:rPr>
            <w:noProof/>
            <w:webHidden/>
          </w:rPr>
        </w:r>
        <w:r w:rsidR="00F549E8">
          <w:rPr>
            <w:noProof/>
            <w:webHidden/>
          </w:rPr>
          <w:fldChar w:fldCharType="separate"/>
        </w:r>
        <w:r w:rsidR="00F549E8">
          <w:rPr>
            <w:noProof/>
            <w:webHidden/>
          </w:rPr>
          <w:t>13</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21"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_Toc459896321 \h </w:instrText>
        </w:r>
        <w:r w:rsidR="00F549E8">
          <w:rPr>
            <w:noProof/>
            <w:webHidden/>
          </w:rPr>
        </w:r>
        <w:r w:rsidR="00F549E8">
          <w:rPr>
            <w:noProof/>
            <w:webHidden/>
          </w:rPr>
          <w:fldChar w:fldCharType="separate"/>
        </w:r>
        <w:r w:rsidR="00F549E8">
          <w:rPr>
            <w:noProof/>
            <w:webHidden/>
          </w:rPr>
          <w:t>13</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22"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_Toc459896322 \h </w:instrText>
        </w:r>
        <w:r w:rsidR="00F549E8">
          <w:rPr>
            <w:noProof/>
            <w:webHidden/>
          </w:rPr>
        </w:r>
        <w:r w:rsidR="00F549E8">
          <w:rPr>
            <w:noProof/>
            <w:webHidden/>
          </w:rPr>
          <w:fldChar w:fldCharType="separate"/>
        </w:r>
        <w:r w:rsidR="00F549E8">
          <w:rPr>
            <w:noProof/>
            <w:webHidden/>
          </w:rPr>
          <w:t>13</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23"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_Toc459896323 \h </w:instrText>
        </w:r>
        <w:r w:rsidR="00F549E8">
          <w:rPr>
            <w:noProof/>
            <w:webHidden/>
          </w:rPr>
        </w:r>
        <w:r w:rsidR="00F549E8">
          <w:rPr>
            <w:noProof/>
            <w:webHidden/>
          </w:rPr>
          <w:fldChar w:fldCharType="separate"/>
        </w:r>
        <w:r w:rsidR="00F549E8">
          <w:rPr>
            <w:noProof/>
            <w:webHidden/>
          </w:rPr>
          <w:t>13</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24"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_Toc459896324 \h </w:instrText>
        </w:r>
        <w:r w:rsidR="00F549E8">
          <w:rPr>
            <w:noProof/>
            <w:webHidden/>
          </w:rPr>
        </w:r>
        <w:r w:rsidR="00F549E8">
          <w:rPr>
            <w:noProof/>
            <w:webHidden/>
          </w:rPr>
          <w:fldChar w:fldCharType="separate"/>
        </w:r>
        <w:r w:rsidR="00F549E8">
          <w:rPr>
            <w:noProof/>
            <w:webHidden/>
          </w:rPr>
          <w:t>13</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25"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_Toc459896325 \h </w:instrText>
        </w:r>
        <w:r w:rsidR="00F549E8">
          <w:rPr>
            <w:noProof/>
            <w:webHidden/>
          </w:rPr>
        </w:r>
        <w:r w:rsidR="00F549E8">
          <w:rPr>
            <w:noProof/>
            <w:webHidden/>
          </w:rPr>
          <w:fldChar w:fldCharType="separate"/>
        </w:r>
        <w:r w:rsidR="00F549E8">
          <w:rPr>
            <w:noProof/>
            <w:webHidden/>
          </w:rPr>
          <w:t>13</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26"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_Toc459896326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27"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_Toc459896327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28"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_Toc459896328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29"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_Toc459896329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30"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la norme</w:t>
        </w:r>
        <w:r w:rsidR="00F549E8">
          <w:rPr>
            <w:noProof/>
            <w:webHidden/>
          </w:rPr>
          <w:tab/>
        </w:r>
        <w:r w:rsidR="00F549E8">
          <w:rPr>
            <w:noProof/>
            <w:webHidden/>
          </w:rPr>
          <w:fldChar w:fldCharType="begin"/>
        </w:r>
        <w:r w:rsidR="00F549E8">
          <w:rPr>
            <w:noProof/>
            <w:webHidden/>
          </w:rPr>
          <w:instrText xml:space="preserve"> PAGEREF _Toc459896330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31"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_Toc459896331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32" w:history="1">
        <w:r w:rsidR="00F549E8" w:rsidRPr="002A2919">
          <w:rPr>
            <w:rStyle w:val="Lienhypertexte"/>
          </w:rPr>
          <w:t>Section 500.</w:t>
        </w:r>
        <w:r w:rsidR="00F549E8">
          <w:rPr>
            <w:rFonts w:eastAsiaTheme="minorEastAsia"/>
            <w:b w:val="0"/>
            <w:color w:val="auto"/>
            <w:sz w:val="22"/>
            <w:lang w:eastAsia="fr-FR"/>
          </w:rPr>
          <w:tab/>
        </w:r>
        <w:r w:rsidR="00F549E8" w:rsidRPr="002A2919">
          <w:rPr>
            <w:rStyle w:val="Lienhypertexte"/>
          </w:rPr>
          <w:t>IAS 10 -  évènements postérieurs à la clôture</w:t>
        </w:r>
        <w:r w:rsidR="00F549E8">
          <w:rPr>
            <w:webHidden/>
          </w:rPr>
          <w:tab/>
        </w:r>
        <w:r w:rsidR="00F549E8">
          <w:rPr>
            <w:webHidden/>
          </w:rPr>
          <w:fldChar w:fldCharType="begin"/>
        </w:r>
        <w:r w:rsidR="00F549E8">
          <w:rPr>
            <w:webHidden/>
          </w:rPr>
          <w:instrText xml:space="preserve"> PAGEREF _Toc459896332 \h </w:instrText>
        </w:r>
        <w:r w:rsidR="00F549E8">
          <w:rPr>
            <w:webHidden/>
          </w:rPr>
        </w:r>
        <w:r w:rsidR="00F549E8">
          <w:rPr>
            <w:webHidden/>
          </w:rPr>
          <w:fldChar w:fldCharType="separate"/>
        </w:r>
        <w:r w:rsidR="00F549E8">
          <w:rPr>
            <w:webHidden/>
          </w:rPr>
          <w:t>14</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33"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_Toc459896333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34"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_Toc459896334 \h </w:instrText>
        </w:r>
        <w:r w:rsidR="00F549E8">
          <w:rPr>
            <w:noProof/>
            <w:webHidden/>
          </w:rPr>
        </w:r>
        <w:r w:rsidR="00F549E8">
          <w:rPr>
            <w:noProof/>
            <w:webHidden/>
          </w:rPr>
          <w:fldChar w:fldCharType="separate"/>
        </w:r>
        <w:r w:rsidR="00F549E8">
          <w:rPr>
            <w:noProof/>
            <w:webHidden/>
          </w:rPr>
          <w:t>14</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35"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_Toc459896335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36"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_Toc459896336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37"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_Toc459896337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38"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_Toc459896338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39"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_Toc459896339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40"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_Toc459896340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41"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_Toc459896341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42"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_Toc459896342 \h </w:instrText>
        </w:r>
        <w:r w:rsidR="00F549E8">
          <w:rPr>
            <w:noProof/>
            <w:webHidden/>
          </w:rPr>
        </w:r>
        <w:r w:rsidR="00F549E8">
          <w:rPr>
            <w:noProof/>
            <w:webHidden/>
          </w:rPr>
          <w:fldChar w:fldCharType="separate"/>
        </w:r>
        <w:r w:rsidR="00F549E8">
          <w:rPr>
            <w:noProof/>
            <w:webHidden/>
          </w:rPr>
          <w:t>15</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43"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la norme</w:t>
        </w:r>
        <w:r w:rsidR="00F549E8">
          <w:rPr>
            <w:noProof/>
            <w:webHidden/>
          </w:rPr>
          <w:tab/>
        </w:r>
        <w:r w:rsidR="00F549E8">
          <w:rPr>
            <w:noProof/>
            <w:webHidden/>
          </w:rPr>
          <w:fldChar w:fldCharType="begin"/>
        </w:r>
        <w:r w:rsidR="00F549E8">
          <w:rPr>
            <w:noProof/>
            <w:webHidden/>
          </w:rPr>
          <w:instrText xml:space="preserve"> PAGEREF _Toc459896343 \h </w:instrText>
        </w:r>
        <w:r w:rsidR="00F549E8">
          <w:rPr>
            <w:noProof/>
            <w:webHidden/>
          </w:rPr>
        </w:r>
        <w:r w:rsidR="00F549E8">
          <w:rPr>
            <w:noProof/>
            <w:webHidden/>
          </w:rPr>
          <w:fldChar w:fldCharType="separate"/>
        </w:r>
        <w:r w:rsidR="00F549E8">
          <w:rPr>
            <w:noProof/>
            <w:webHidden/>
          </w:rPr>
          <w:t>16</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44"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_Toc459896344 \h </w:instrText>
        </w:r>
        <w:r w:rsidR="00F549E8">
          <w:rPr>
            <w:noProof/>
            <w:webHidden/>
          </w:rPr>
        </w:r>
        <w:r w:rsidR="00F549E8">
          <w:rPr>
            <w:noProof/>
            <w:webHidden/>
          </w:rPr>
          <w:fldChar w:fldCharType="separate"/>
        </w:r>
        <w:r w:rsidR="00F549E8">
          <w:rPr>
            <w:noProof/>
            <w:webHidden/>
          </w:rPr>
          <w:t>16</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45" w:history="1">
        <w:r w:rsidR="00F549E8" w:rsidRPr="002A2919">
          <w:rPr>
            <w:rStyle w:val="Lienhypertexte"/>
          </w:rPr>
          <w:t>Section 600.</w:t>
        </w:r>
        <w:r w:rsidR="00F549E8">
          <w:rPr>
            <w:rFonts w:eastAsiaTheme="minorEastAsia"/>
            <w:b w:val="0"/>
            <w:color w:val="auto"/>
            <w:sz w:val="22"/>
            <w:lang w:eastAsia="fr-FR"/>
          </w:rPr>
          <w:tab/>
        </w:r>
        <w:r w:rsidR="00F549E8" w:rsidRPr="002A2919">
          <w:rPr>
            <w:rStyle w:val="Lienhypertexte"/>
          </w:rPr>
          <w:t>IAS 21 - Conversion des etats financiers des entités étrangères</w:t>
        </w:r>
        <w:r w:rsidR="00F549E8">
          <w:rPr>
            <w:webHidden/>
          </w:rPr>
          <w:tab/>
        </w:r>
        <w:r w:rsidR="00F549E8">
          <w:rPr>
            <w:webHidden/>
          </w:rPr>
          <w:fldChar w:fldCharType="begin"/>
        </w:r>
        <w:r w:rsidR="00F549E8">
          <w:rPr>
            <w:webHidden/>
          </w:rPr>
          <w:instrText xml:space="preserve"> PAGEREF _Toc459896345 \h </w:instrText>
        </w:r>
        <w:r w:rsidR="00F549E8">
          <w:rPr>
            <w:webHidden/>
          </w:rPr>
        </w:r>
        <w:r w:rsidR="00F549E8">
          <w:rPr>
            <w:webHidden/>
          </w:rPr>
          <w:fldChar w:fldCharType="separate"/>
        </w:r>
        <w:r w:rsidR="00F549E8">
          <w:rPr>
            <w:webHidden/>
          </w:rPr>
          <w:t>16</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46"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_Toc459896346 \h </w:instrText>
        </w:r>
        <w:r w:rsidR="00F549E8">
          <w:rPr>
            <w:noProof/>
            <w:webHidden/>
          </w:rPr>
        </w:r>
        <w:r w:rsidR="00F549E8">
          <w:rPr>
            <w:noProof/>
            <w:webHidden/>
          </w:rPr>
          <w:fldChar w:fldCharType="separate"/>
        </w:r>
        <w:r w:rsidR="00F549E8">
          <w:rPr>
            <w:noProof/>
            <w:webHidden/>
          </w:rPr>
          <w:t>16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47"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_Toc459896347 \h </w:instrText>
        </w:r>
        <w:r w:rsidR="00F549E8">
          <w:rPr>
            <w:noProof/>
            <w:webHidden/>
          </w:rPr>
        </w:r>
        <w:r w:rsidR="00F549E8">
          <w:rPr>
            <w:noProof/>
            <w:webHidden/>
          </w:rPr>
          <w:fldChar w:fldCharType="separate"/>
        </w:r>
        <w:r w:rsidR="00F549E8">
          <w:rPr>
            <w:noProof/>
            <w:webHidden/>
          </w:rPr>
          <w:t>16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48"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_Toc459896348 \h </w:instrText>
        </w:r>
        <w:r w:rsidR="00F549E8">
          <w:rPr>
            <w:noProof/>
            <w:webHidden/>
          </w:rPr>
        </w:r>
        <w:r w:rsidR="00F549E8">
          <w:rPr>
            <w:noProof/>
            <w:webHidden/>
          </w:rPr>
          <w:fldChar w:fldCharType="separate"/>
        </w:r>
        <w:r w:rsidR="00F549E8">
          <w:rPr>
            <w:noProof/>
            <w:webHidden/>
          </w:rPr>
          <w:t>16</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49"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_Toc459896349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50"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_Toc459896350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51"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_Toc459896351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52"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_Toc459896352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53"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_Toc459896353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54"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_Toc459896354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55"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_Toc459896355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56"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la norme</w:t>
        </w:r>
        <w:r w:rsidR="00F549E8">
          <w:rPr>
            <w:noProof/>
            <w:webHidden/>
          </w:rPr>
          <w:tab/>
        </w:r>
        <w:r w:rsidR="00F549E8">
          <w:rPr>
            <w:noProof/>
            <w:webHidden/>
          </w:rPr>
          <w:fldChar w:fldCharType="begin"/>
        </w:r>
        <w:r w:rsidR="00F549E8">
          <w:rPr>
            <w:noProof/>
            <w:webHidden/>
          </w:rPr>
          <w:instrText xml:space="preserve"> PAGEREF _Toc459896356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57"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_Toc459896357 \h </w:instrText>
        </w:r>
        <w:r w:rsidR="00F549E8">
          <w:rPr>
            <w:noProof/>
            <w:webHidden/>
          </w:rPr>
        </w:r>
        <w:r w:rsidR="00F549E8">
          <w:rPr>
            <w:noProof/>
            <w:webHidden/>
          </w:rPr>
          <w:fldChar w:fldCharType="separate"/>
        </w:r>
        <w:r w:rsidR="00F549E8">
          <w:rPr>
            <w:noProof/>
            <w:webHidden/>
          </w:rPr>
          <w:t>17</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58" w:history="1">
        <w:r w:rsidR="00F549E8" w:rsidRPr="002A2919">
          <w:rPr>
            <w:rStyle w:val="Lienhypertexte"/>
          </w:rPr>
          <w:t>Section 610.</w:t>
        </w:r>
        <w:r w:rsidR="00F549E8">
          <w:rPr>
            <w:rFonts w:eastAsiaTheme="minorEastAsia"/>
            <w:b w:val="0"/>
            <w:color w:val="auto"/>
            <w:sz w:val="22"/>
            <w:lang w:eastAsia="fr-FR"/>
          </w:rPr>
          <w:tab/>
        </w:r>
        <w:r w:rsidR="00F549E8" w:rsidRPr="002A2919">
          <w:rPr>
            <w:rStyle w:val="Lienhypertexte"/>
          </w:rPr>
          <w:t>IFRIC 16 - Couvertures d’un investissement net dans une activité à l’étranger</w:t>
        </w:r>
        <w:r w:rsidR="00F549E8">
          <w:rPr>
            <w:webHidden/>
          </w:rPr>
          <w:tab/>
        </w:r>
        <w:r w:rsidR="00F549E8">
          <w:rPr>
            <w:webHidden/>
          </w:rPr>
          <w:fldChar w:fldCharType="begin"/>
        </w:r>
        <w:r w:rsidR="00F549E8">
          <w:rPr>
            <w:webHidden/>
          </w:rPr>
          <w:instrText xml:space="preserve"> PAGEREF _Toc459896358 \h </w:instrText>
        </w:r>
        <w:r w:rsidR="00F549E8">
          <w:rPr>
            <w:webHidden/>
          </w:rPr>
        </w:r>
        <w:r w:rsidR="00F549E8">
          <w:rPr>
            <w:webHidden/>
          </w:rPr>
          <w:fldChar w:fldCharType="separate"/>
        </w:r>
        <w:r w:rsidR="00F549E8">
          <w:rPr>
            <w:webHidden/>
          </w:rPr>
          <w:t>18</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59"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_Toc459896359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60"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_Toc459896360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61"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_Toc459896361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62"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_Toc459896362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63"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_Toc459896363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64"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_Toc459896364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65"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_Toc459896365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66"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_Toc459896366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67"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_Toc459896367 \h </w:instrText>
        </w:r>
        <w:r w:rsidR="00F549E8">
          <w:rPr>
            <w:noProof/>
            <w:webHidden/>
          </w:rPr>
        </w:r>
        <w:r w:rsidR="00F549E8">
          <w:rPr>
            <w:noProof/>
            <w:webHidden/>
          </w:rPr>
          <w:fldChar w:fldCharType="separate"/>
        </w:r>
        <w:r w:rsidR="00F549E8">
          <w:rPr>
            <w:noProof/>
            <w:webHidden/>
          </w:rPr>
          <w:t>18</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68"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_Toc459896368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69"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l’interprétation</w:t>
        </w:r>
        <w:r w:rsidR="00F549E8">
          <w:rPr>
            <w:noProof/>
            <w:webHidden/>
          </w:rPr>
          <w:tab/>
        </w:r>
        <w:r w:rsidR="00F549E8">
          <w:rPr>
            <w:noProof/>
            <w:webHidden/>
          </w:rPr>
          <w:fldChar w:fldCharType="begin"/>
        </w:r>
        <w:r w:rsidR="00F549E8">
          <w:rPr>
            <w:noProof/>
            <w:webHidden/>
          </w:rPr>
          <w:instrText xml:space="preserve"> PAGEREF _Toc459896369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70"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_Toc459896370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71" w:history="1">
        <w:r w:rsidR="00F549E8" w:rsidRPr="002A2919">
          <w:rPr>
            <w:rStyle w:val="Lienhypertexte"/>
          </w:rPr>
          <w:t>Section 620.</w:t>
        </w:r>
        <w:r w:rsidR="00F549E8">
          <w:rPr>
            <w:rFonts w:eastAsiaTheme="minorEastAsia"/>
            <w:b w:val="0"/>
            <w:color w:val="auto"/>
            <w:sz w:val="22"/>
            <w:lang w:eastAsia="fr-FR"/>
          </w:rPr>
          <w:tab/>
        </w:r>
        <w:r w:rsidR="00F549E8" w:rsidRPr="002A2919">
          <w:rPr>
            <w:rStyle w:val="Lienhypertexte"/>
          </w:rPr>
          <w:t>SIC 7 – Introduction de l’euro</w:t>
        </w:r>
        <w:r w:rsidR="00F549E8">
          <w:rPr>
            <w:webHidden/>
          </w:rPr>
          <w:tab/>
        </w:r>
        <w:r w:rsidR="00F549E8">
          <w:rPr>
            <w:webHidden/>
          </w:rPr>
          <w:fldChar w:fldCharType="begin"/>
        </w:r>
        <w:r w:rsidR="00F549E8">
          <w:rPr>
            <w:webHidden/>
          </w:rPr>
          <w:instrText xml:space="preserve"> PAGEREF _Toc459896371 \h </w:instrText>
        </w:r>
        <w:r w:rsidR="00F549E8">
          <w:rPr>
            <w:webHidden/>
          </w:rPr>
        </w:r>
        <w:r w:rsidR="00F549E8">
          <w:rPr>
            <w:webHidden/>
          </w:rPr>
          <w:fldChar w:fldCharType="separate"/>
        </w:r>
        <w:r w:rsidR="00F549E8">
          <w:rPr>
            <w:webHidden/>
          </w:rPr>
          <w:t>19</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72"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_Toc459896372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73"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_Toc459896373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74"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_Toc459896374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75"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_Toc459896375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76"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_Toc459896376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77"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_Toc459896377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78"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_Toc459896378 \h </w:instrText>
        </w:r>
        <w:r w:rsidR="00F549E8">
          <w:rPr>
            <w:noProof/>
            <w:webHidden/>
          </w:rPr>
        </w:r>
        <w:r w:rsidR="00F549E8">
          <w:rPr>
            <w:noProof/>
            <w:webHidden/>
          </w:rPr>
          <w:fldChar w:fldCharType="separate"/>
        </w:r>
        <w:r w:rsidR="00F549E8">
          <w:rPr>
            <w:noProof/>
            <w:webHidden/>
          </w:rPr>
          <w:t>19</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79"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_Toc459896379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80"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_Toc459896380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81"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_Toc459896381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82"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l’interprétation</w:t>
        </w:r>
        <w:r w:rsidR="00F549E8">
          <w:rPr>
            <w:noProof/>
            <w:webHidden/>
          </w:rPr>
          <w:tab/>
        </w:r>
        <w:r w:rsidR="00F549E8">
          <w:rPr>
            <w:noProof/>
            <w:webHidden/>
          </w:rPr>
          <w:fldChar w:fldCharType="begin"/>
        </w:r>
        <w:r w:rsidR="00F549E8">
          <w:rPr>
            <w:noProof/>
            <w:webHidden/>
          </w:rPr>
          <w:instrText xml:space="preserve"> PAGEREF _Toc459896382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83"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_Toc459896383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84" w:history="1">
        <w:r w:rsidR="00F549E8" w:rsidRPr="002A2919">
          <w:rPr>
            <w:rStyle w:val="Lienhypertexte"/>
          </w:rPr>
          <w:t>Section 700.</w:t>
        </w:r>
        <w:r w:rsidR="00F549E8">
          <w:rPr>
            <w:rFonts w:eastAsiaTheme="minorEastAsia"/>
            <w:b w:val="0"/>
            <w:color w:val="auto"/>
            <w:sz w:val="22"/>
            <w:lang w:eastAsia="fr-FR"/>
          </w:rPr>
          <w:tab/>
        </w:r>
        <w:r w:rsidR="00F549E8" w:rsidRPr="002A2919">
          <w:rPr>
            <w:rStyle w:val="Lienhypertexte"/>
          </w:rPr>
          <w:t>IAS 29 – Information financière dans les economies hyperinflationnistes</w:t>
        </w:r>
        <w:r w:rsidR="00F549E8">
          <w:rPr>
            <w:webHidden/>
          </w:rPr>
          <w:tab/>
        </w:r>
        <w:r w:rsidR="00F549E8">
          <w:rPr>
            <w:webHidden/>
          </w:rPr>
          <w:fldChar w:fldCharType="begin"/>
        </w:r>
        <w:r w:rsidR="00F549E8">
          <w:rPr>
            <w:webHidden/>
          </w:rPr>
          <w:instrText xml:space="preserve"> PAGEREF _Toc459896384 \h </w:instrText>
        </w:r>
        <w:r w:rsidR="00F549E8">
          <w:rPr>
            <w:webHidden/>
          </w:rPr>
        </w:r>
        <w:r w:rsidR="00F549E8">
          <w:rPr>
            <w:webHidden/>
          </w:rPr>
          <w:fldChar w:fldCharType="separate"/>
        </w:r>
        <w:r w:rsidR="00F549E8">
          <w:rPr>
            <w:webHidden/>
          </w:rPr>
          <w:t>20</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85"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_Toc459896385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86"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_Toc459896386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87"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_Toc459896387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88"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_Toc459896388 \h </w:instrText>
        </w:r>
        <w:r w:rsidR="00F549E8">
          <w:rPr>
            <w:noProof/>
            <w:webHidden/>
          </w:rPr>
        </w:r>
        <w:r w:rsidR="00F549E8">
          <w:rPr>
            <w:noProof/>
            <w:webHidden/>
          </w:rPr>
          <w:fldChar w:fldCharType="separate"/>
        </w:r>
        <w:r w:rsidR="00F549E8">
          <w:rPr>
            <w:noProof/>
            <w:webHidden/>
          </w:rPr>
          <w:t>20</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89"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_Toc459896389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90"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_Toc459896390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91"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_Toc459896391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92"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_Toc459896392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93"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_Toc459896393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94"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_Toc459896394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95"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la norme</w:t>
        </w:r>
        <w:r w:rsidR="00F549E8">
          <w:rPr>
            <w:noProof/>
            <w:webHidden/>
          </w:rPr>
          <w:tab/>
        </w:r>
        <w:r w:rsidR="00F549E8">
          <w:rPr>
            <w:noProof/>
            <w:webHidden/>
          </w:rPr>
          <w:fldChar w:fldCharType="begin"/>
        </w:r>
        <w:r w:rsidR="00F549E8">
          <w:rPr>
            <w:noProof/>
            <w:webHidden/>
          </w:rPr>
          <w:instrText xml:space="preserve"> PAGEREF _Toc459896395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96"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_Toc459896396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1"/>
        <w:rPr>
          <w:rFonts w:eastAsiaTheme="minorEastAsia"/>
          <w:b w:val="0"/>
          <w:color w:val="auto"/>
          <w:sz w:val="22"/>
          <w:lang w:eastAsia="fr-FR"/>
        </w:rPr>
      </w:pPr>
      <w:hyperlink w:anchor="_Toc459896397" w:history="1">
        <w:r w:rsidR="00F549E8" w:rsidRPr="002A2919">
          <w:rPr>
            <w:rStyle w:val="Lienhypertexte"/>
          </w:rPr>
          <w:t>Section 710.</w:t>
        </w:r>
        <w:r w:rsidR="00F549E8">
          <w:rPr>
            <w:rFonts w:eastAsiaTheme="minorEastAsia"/>
            <w:b w:val="0"/>
            <w:color w:val="auto"/>
            <w:sz w:val="22"/>
            <w:lang w:eastAsia="fr-FR"/>
          </w:rPr>
          <w:tab/>
        </w:r>
        <w:r w:rsidR="00F549E8" w:rsidRPr="002A2919">
          <w:rPr>
            <w:rStyle w:val="Lienhypertexte"/>
          </w:rPr>
          <w:t>IFRIC 7 – Application de l’approche du retraitement dans le cadre d’IAS 29 Information financière dans les économies hyperinflationnistes</w:t>
        </w:r>
        <w:r w:rsidR="00F549E8">
          <w:rPr>
            <w:webHidden/>
          </w:rPr>
          <w:tab/>
        </w:r>
        <w:r w:rsidR="00F549E8">
          <w:rPr>
            <w:webHidden/>
          </w:rPr>
          <w:fldChar w:fldCharType="begin"/>
        </w:r>
        <w:r w:rsidR="00F549E8">
          <w:rPr>
            <w:webHidden/>
          </w:rPr>
          <w:instrText xml:space="preserve"> PAGEREF _Toc459896397 \h </w:instrText>
        </w:r>
        <w:r w:rsidR="00F549E8">
          <w:rPr>
            <w:webHidden/>
          </w:rPr>
        </w:r>
        <w:r w:rsidR="00F549E8">
          <w:rPr>
            <w:webHidden/>
          </w:rPr>
          <w:fldChar w:fldCharType="separate"/>
        </w:r>
        <w:r w:rsidR="00F549E8">
          <w:rPr>
            <w:webHidden/>
          </w:rPr>
          <w:t>21</w:t>
        </w:r>
        <w:r w:rsidR="00F549E8">
          <w:rPr>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398" w:history="1">
        <w:r w:rsidR="00F549E8" w:rsidRPr="002A2919">
          <w:rPr>
            <w:rStyle w:val="Lienhypertexte"/>
            <w:noProof/>
          </w:rPr>
          <w:t>1.</w:t>
        </w:r>
        <w:r w:rsidR="00F549E8">
          <w:rPr>
            <w:rFonts w:asciiTheme="minorHAnsi" w:eastAsiaTheme="minorEastAsia" w:hAnsiTheme="minorHAnsi"/>
            <w:noProof/>
            <w:lang w:eastAsia="fr-FR"/>
          </w:rPr>
          <w:tab/>
        </w:r>
        <w:r w:rsidR="00F549E8" w:rsidRPr="002A2919">
          <w:rPr>
            <w:rStyle w:val="Lienhypertexte"/>
            <w:noProof/>
          </w:rPr>
          <w:t>Historique</w:t>
        </w:r>
        <w:r w:rsidR="00F549E8">
          <w:rPr>
            <w:noProof/>
            <w:webHidden/>
          </w:rPr>
          <w:tab/>
        </w:r>
        <w:r w:rsidR="00F549E8">
          <w:rPr>
            <w:noProof/>
            <w:webHidden/>
          </w:rPr>
          <w:fldChar w:fldCharType="begin"/>
        </w:r>
        <w:r w:rsidR="00F549E8">
          <w:rPr>
            <w:noProof/>
            <w:webHidden/>
          </w:rPr>
          <w:instrText xml:space="preserve"> PAGEREF _Toc459896398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399" w:history="1">
        <w:r w:rsidR="00F549E8" w:rsidRPr="002A2919">
          <w:rPr>
            <w:rStyle w:val="Lienhypertexte"/>
            <w:noProof/>
          </w:rPr>
          <w:t>1.1.</w:t>
        </w:r>
        <w:r w:rsidR="00F549E8">
          <w:rPr>
            <w:rFonts w:asciiTheme="minorHAnsi" w:eastAsiaTheme="minorEastAsia" w:hAnsiTheme="minorHAnsi"/>
            <w:noProof/>
            <w:lang w:eastAsia="fr-FR"/>
          </w:rPr>
          <w:tab/>
        </w:r>
        <w:r w:rsidR="00F549E8" w:rsidRPr="002A2919">
          <w:rPr>
            <w:rStyle w:val="Lienhypertexte"/>
            <w:noProof/>
          </w:rPr>
          <w:t>Historique au niveau de l’Union européenne</w:t>
        </w:r>
        <w:r w:rsidR="00F549E8">
          <w:rPr>
            <w:noProof/>
            <w:webHidden/>
          </w:rPr>
          <w:tab/>
        </w:r>
        <w:r w:rsidR="00F549E8">
          <w:rPr>
            <w:noProof/>
            <w:webHidden/>
          </w:rPr>
          <w:fldChar w:fldCharType="begin"/>
        </w:r>
        <w:r w:rsidR="00F549E8">
          <w:rPr>
            <w:noProof/>
            <w:webHidden/>
          </w:rPr>
          <w:instrText xml:space="preserve"> PAGEREF _Toc459896399 \h </w:instrText>
        </w:r>
        <w:r w:rsidR="00F549E8">
          <w:rPr>
            <w:noProof/>
            <w:webHidden/>
          </w:rPr>
        </w:r>
        <w:r w:rsidR="00F549E8">
          <w:rPr>
            <w:noProof/>
            <w:webHidden/>
          </w:rPr>
          <w:fldChar w:fldCharType="separate"/>
        </w:r>
        <w:r w:rsidR="00F549E8">
          <w:rPr>
            <w:noProof/>
            <w:webHidden/>
          </w:rPr>
          <w:t>21</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400" w:history="1">
        <w:r w:rsidR="00F549E8" w:rsidRPr="002A2919">
          <w:rPr>
            <w:rStyle w:val="Lienhypertexte"/>
            <w:noProof/>
          </w:rPr>
          <w:t>1.2.</w:t>
        </w:r>
        <w:r w:rsidR="00F549E8">
          <w:rPr>
            <w:rFonts w:asciiTheme="minorHAnsi" w:eastAsiaTheme="minorEastAsia" w:hAnsiTheme="minorHAnsi"/>
            <w:noProof/>
            <w:lang w:eastAsia="fr-FR"/>
          </w:rPr>
          <w:tab/>
        </w:r>
        <w:r w:rsidR="00F549E8" w:rsidRPr="002A2919">
          <w:rPr>
            <w:rStyle w:val="Lienhypertexte"/>
            <w:noProof/>
          </w:rPr>
          <w:t>Textes en cours d’adoption par la Communauté européenne</w:t>
        </w:r>
        <w:r w:rsidR="00F549E8">
          <w:rPr>
            <w:noProof/>
            <w:webHidden/>
          </w:rPr>
          <w:tab/>
        </w:r>
        <w:r w:rsidR="00F549E8">
          <w:rPr>
            <w:noProof/>
            <w:webHidden/>
          </w:rPr>
          <w:fldChar w:fldCharType="begin"/>
        </w:r>
        <w:r w:rsidR="00F549E8">
          <w:rPr>
            <w:noProof/>
            <w:webHidden/>
          </w:rPr>
          <w:instrText xml:space="preserve"> PAGEREF _Toc459896400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401" w:history="1">
        <w:r w:rsidR="00F549E8" w:rsidRPr="002A2919">
          <w:rPr>
            <w:rStyle w:val="Lienhypertexte"/>
            <w:noProof/>
          </w:rPr>
          <w:t>1.3.</w:t>
        </w:r>
        <w:r w:rsidR="00F549E8">
          <w:rPr>
            <w:rFonts w:asciiTheme="minorHAnsi" w:eastAsiaTheme="minorEastAsia" w:hAnsiTheme="minorHAnsi"/>
            <w:noProof/>
            <w:lang w:eastAsia="fr-FR"/>
          </w:rPr>
          <w:tab/>
        </w:r>
        <w:r w:rsidR="00F549E8" w:rsidRPr="002A2919">
          <w:rPr>
            <w:rStyle w:val="Lienhypertexte"/>
            <w:noProof/>
          </w:rPr>
          <w:t>Textes en cours d’adoption par l’IASB</w:t>
        </w:r>
        <w:r w:rsidR="00F549E8">
          <w:rPr>
            <w:noProof/>
            <w:webHidden/>
          </w:rPr>
          <w:tab/>
        </w:r>
        <w:r w:rsidR="00F549E8">
          <w:rPr>
            <w:noProof/>
            <w:webHidden/>
          </w:rPr>
          <w:fldChar w:fldCharType="begin"/>
        </w:r>
        <w:r w:rsidR="00F549E8">
          <w:rPr>
            <w:noProof/>
            <w:webHidden/>
          </w:rPr>
          <w:instrText xml:space="preserve"> PAGEREF _Toc459896401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402" w:history="1">
        <w:r w:rsidR="00F549E8" w:rsidRPr="002A2919">
          <w:rPr>
            <w:rStyle w:val="Lienhypertexte"/>
            <w:noProof/>
          </w:rPr>
          <w:t>1.4.</w:t>
        </w:r>
        <w:r w:rsidR="00F549E8">
          <w:rPr>
            <w:rFonts w:asciiTheme="minorHAnsi" w:eastAsiaTheme="minorEastAsia" w:hAnsiTheme="minorHAnsi"/>
            <w:noProof/>
            <w:lang w:eastAsia="fr-FR"/>
          </w:rPr>
          <w:tab/>
        </w:r>
        <w:r w:rsidR="00F549E8" w:rsidRPr="002A2919">
          <w:rPr>
            <w:rStyle w:val="Lienhypertexte"/>
            <w:noProof/>
          </w:rPr>
          <w:t>Projets IASB</w:t>
        </w:r>
        <w:r w:rsidR="00F549E8">
          <w:rPr>
            <w:noProof/>
            <w:webHidden/>
          </w:rPr>
          <w:tab/>
        </w:r>
        <w:r w:rsidR="00F549E8">
          <w:rPr>
            <w:noProof/>
            <w:webHidden/>
          </w:rPr>
          <w:fldChar w:fldCharType="begin"/>
        </w:r>
        <w:r w:rsidR="00F549E8">
          <w:rPr>
            <w:noProof/>
            <w:webHidden/>
          </w:rPr>
          <w:instrText xml:space="preserve"> PAGEREF _Toc459896402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403" w:history="1">
        <w:r w:rsidR="00F549E8" w:rsidRPr="002A2919">
          <w:rPr>
            <w:rStyle w:val="Lienhypertexte"/>
            <w:noProof/>
          </w:rPr>
          <w:t>2.</w:t>
        </w:r>
        <w:r w:rsidR="00F549E8">
          <w:rPr>
            <w:rFonts w:asciiTheme="minorHAnsi" w:eastAsiaTheme="minorEastAsia" w:hAnsiTheme="minorHAnsi"/>
            <w:noProof/>
            <w:lang w:eastAsia="fr-FR"/>
          </w:rPr>
          <w:tab/>
        </w:r>
        <w:r w:rsidR="00F549E8" w:rsidRPr="002A2919">
          <w:rPr>
            <w:rStyle w:val="Lienhypertexte"/>
            <w:noProof/>
          </w:rPr>
          <w:t>Normes et interprétations liées</w:t>
        </w:r>
        <w:r w:rsidR="00F549E8">
          <w:rPr>
            <w:noProof/>
            <w:webHidden/>
          </w:rPr>
          <w:tab/>
        </w:r>
        <w:r w:rsidR="00F549E8">
          <w:rPr>
            <w:noProof/>
            <w:webHidden/>
          </w:rPr>
          <w:fldChar w:fldCharType="begin"/>
        </w:r>
        <w:r w:rsidR="00F549E8">
          <w:rPr>
            <w:noProof/>
            <w:webHidden/>
          </w:rPr>
          <w:instrText xml:space="preserve"> PAGEREF _Toc459896403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404" w:history="1">
        <w:r w:rsidR="00F549E8" w:rsidRPr="002A2919">
          <w:rPr>
            <w:rStyle w:val="Lienhypertexte"/>
            <w:noProof/>
          </w:rPr>
          <w:t>3.</w:t>
        </w:r>
        <w:r w:rsidR="00F549E8">
          <w:rPr>
            <w:rFonts w:asciiTheme="minorHAnsi" w:eastAsiaTheme="minorEastAsia" w:hAnsiTheme="minorHAnsi"/>
            <w:noProof/>
            <w:lang w:eastAsia="fr-FR"/>
          </w:rPr>
          <w:tab/>
        </w:r>
        <w:r w:rsidR="00F549E8" w:rsidRPr="002A2919">
          <w:rPr>
            <w:rStyle w:val="Lienhypertexte"/>
            <w:noProof/>
          </w:rPr>
          <w:t>Rejets IFRIC liés</w:t>
        </w:r>
        <w:r w:rsidR="00F549E8">
          <w:rPr>
            <w:noProof/>
            <w:webHidden/>
          </w:rPr>
          <w:tab/>
        </w:r>
        <w:r w:rsidR="00F549E8">
          <w:rPr>
            <w:noProof/>
            <w:webHidden/>
          </w:rPr>
          <w:fldChar w:fldCharType="begin"/>
        </w:r>
        <w:r w:rsidR="00F549E8">
          <w:rPr>
            <w:noProof/>
            <w:webHidden/>
          </w:rPr>
          <w:instrText xml:space="preserve"> PAGEREF _Toc459896404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405" w:history="1">
        <w:r w:rsidR="00F549E8" w:rsidRPr="002A2919">
          <w:rPr>
            <w:rStyle w:val="Lienhypertexte"/>
            <w:noProof/>
          </w:rPr>
          <w:t>4.</w:t>
        </w:r>
        <w:r w:rsidR="00F549E8">
          <w:rPr>
            <w:rFonts w:asciiTheme="minorHAnsi" w:eastAsiaTheme="minorEastAsia" w:hAnsiTheme="minorHAnsi"/>
            <w:noProof/>
            <w:lang w:eastAsia="fr-FR"/>
          </w:rPr>
          <w:tab/>
        </w:r>
        <w:r w:rsidR="00F549E8" w:rsidRPr="002A2919">
          <w:rPr>
            <w:rStyle w:val="Lienhypertexte"/>
            <w:noProof/>
          </w:rPr>
          <w:t>Recommandations AMF et Décisions ESMA</w:t>
        </w:r>
        <w:r w:rsidR="00F549E8">
          <w:rPr>
            <w:noProof/>
            <w:webHidden/>
          </w:rPr>
          <w:tab/>
        </w:r>
        <w:r w:rsidR="00F549E8">
          <w:rPr>
            <w:noProof/>
            <w:webHidden/>
          </w:rPr>
          <w:fldChar w:fldCharType="begin"/>
        </w:r>
        <w:r w:rsidR="00F549E8">
          <w:rPr>
            <w:noProof/>
            <w:webHidden/>
          </w:rPr>
          <w:instrText xml:space="preserve"> PAGEREF _Toc459896405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406" w:history="1">
        <w:r w:rsidR="00F549E8" w:rsidRPr="002A2919">
          <w:rPr>
            <w:rStyle w:val="Lienhypertexte"/>
            <w:noProof/>
          </w:rPr>
          <w:t>4.1.</w:t>
        </w:r>
        <w:r w:rsidR="00F549E8">
          <w:rPr>
            <w:rFonts w:asciiTheme="minorHAnsi" w:eastAsiaTheme="minorEastAsia" w:hAnsiTheme="minorHAnsi"/>
            <w:noProof/>
            <w:lang w:eastAsia="fr-FR"/>
          </w:rPr>
          <w:tab/>
        </w:r>
        <w:r w:rsidR="00F549E8" w:rsidRPr="002A2919">
          <w:rPr>
            <w:rStyle w:val="Lienhypertexte"/>
            <w:noProof/>
          </w:rPr>
          <w:t>Recommandations AMF</w:t>
        </w:r>
        <w:r w:rsidR="00F549E8">
          <w:rPr>
            <w:noProof/>
            <w:webHidden/>
          </w:rPr>
          <w:tab/>
        </w:r>
        <w:r w:rsidR="00F549E8">
          <w:rPr>
            <w:noProof/>
            <w:webHidden/>
          </w:rPr>
          <w:fldChar w:fldCharType="begin"/>
        </w:r>
        <w:r w:rsidR="00F549E8">
          <w:rPr>
            <w:noProof/>
            <w:webHidden/>
          </w:rPr>
          <w:instrText xml:space="preserve"> PAGEREF _Toc459896406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3"/>
        <w:tabs>
          <w:tab w:val="left" w:pos="1100"/>
          <w:tab w:val="right" w:leader="dot" w:pos="9060"/>
        </w:tabs>
        <w:rPr>
          <w:rFonts w:asciiTheme="minorHAnsi" w:eastAsiaTheme="minorEastAsia" w:hAnsiTheme="minorHAnsi"/>
          <w:noProof/>
          <w:lang w:eastAsia="fr-FR"/>
        </w:rPr>
      </w:pPr>
      <w:hyperlink w:anchor="_Toc459896407" w:history="1">
        <w:r w:rsidR="00F549E8" w:rsidRPr="002A2919">
          <w:rPr>
            <w:rStyle w:val="Lienhypertexte"/>
            <w:noProof/>
          </w:rPr>
          <w:t>4.2.</w:t>
        </w:r>
        <w:r w:rsidR="00F549E8">
          <w:rPr>
            <w:rFonts w:asciiTheme="minorHAnsi" w:eastAsiaTheme="minorEastAsia" w:hAnsiTheme="minorHAnsi"/>
            <w:noProof/>
            <w:lang w:eastAsia="fr-FR"/>
          </w:rPr>
          <w:tab/>
        </w:r>
        <w:r w:rsidR="00F549E8" w:rsidRPr="002A2919">
          <w:rPr>
            <w:rStyle w:val="Lienhypertexte"/>
            <w:noProof/>
          </w:rPr>
          <w:t>Décisions ESMA</w:t>
        </w:r>
        <w:r w:rsidR="00F549E8">
          <w:rPr>
            <w:noProof/>
            <w:webHidden/>
          </w:rPr>
          <w:tab/>
        </w:r>
        <w:r w:rsidR="00F549E8">
          <w:rPr>
            <w:noProof/>
            <w:webHidden/>
          </w:rPr>
          <w:fldChar w:fldCharType="begin"/>
        </w:r>
        <w:r w:rsidR="00F549E8">
          <w:rPr>
            <w:noProof/>
            <w:webHidden/>
          </w:rPr>
          <w:instrText xml:space="preserve"> PAGEREF _Toc459896407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408" w:history="1">
        <w:r w:rsidR="00F549E8" w:rsidRPr="002A2919">
          <w:rPr>
            <w:rStyle w:val="Lienhypertexte"/>
            <w:noProof/>
          </w:rPr>
          <w:t>5.</w:t>
        </w:r>
        <w:r w:rsidR="00F549E8">
          <w:rPr>
            <w:rFonts w:asciiTheme="minorHAnsi" w:eastAsiaTheme="minorEastAsia" w:hAnsiTheme="minorHAnsi"/>
            <w:noProof/>
            <w:lang w:eastAsia="fr-FR"/>
          </w:rPr>
          <w:tab/>
        </w:r>
        <w:r w:rsidR="00F549E8" w:rsidRPr="002A2919">
          <w:rPr>
            <w:rStyle w:val="Lienhypertexte"/>
            <w:noProof/>
          </w:rPr>
          <w:t>Rappels sur l’interprétation</w:t>
        </w:r>
        <w:r w:rsidR="00F549E8">
          <w:rPr>
            <w:noProof/>
            <w:webHidden/>
          </w:rPr>
          <w:tab/>
        </w:r>
        <w:r w:rsidR="00F549E8">
          <w:rPr>
            <w:noProof/>
            <w:webHidden/>
          </w:rPr>
          <w:fldChar w:fldCharType="begin"/>
        </w:r>
        <w:r w:rsidR="00F549E8">
          <w:rPr>
            <w:noProof/>
            <w:webHidden/>
          </w:rPr>
          <w:instrText xml:space="preserve"> PAGEREF _Toc459896408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F549E8" w:rsidRDefault="004244E0">
      <w:pPr>
        <w:pStyle w:val="TM2"/>
        <w:tabs>
          <w:tab w:val="left" w:pos="660"/>
          <w:tab w:val="right" w:leader="dot" w:pos="9060"/>
        </w:tabs>
        <w:rPr>
          <w:rFonts w:asciiTheme="minorHAnsi" w:eastAsiaTheme="minorEastAsia" w:hAnsiTheme="minorHAnsi"/>
          <w:noProof/>
          <w:lang w:eastAsia="fr-FR"/>
        </w:rPr>
      </w:pPr>
      <w:hyperlink w:anchor="_Toc459896409" w:history="1">
        <w:r w:rsidR="00F549E8" w:rsidRPr="002A2919">
          <w:rPr>
            <w:rStyle w:val="Lienhypertexte"/>
            <w:noProof/>
          </w:rPr>
          <w:t>6.</w:t>
        </w:r>
        <w:r w:rsidR="00F549E8">
          <w:rPr>
            <w:rFonts w:asciiTheme="minorHAnsi" w:eastAsiaTheme="minorEastAsia" w:hAnsiTheme="minorHAnsi"/>
            <w:noProof/>
            <w:lang w:eastAsia="fr-FR"/>
          </w:rPr>
          <w:tab/>
        </w:r>
        <w:r w:rsidR="00F549E8" w:rsidRPr="002A2919">
          <w:rPr>
            <w:rStyle w:val="Lienhypertexte"/>
            <w:noProof/>
          </w:rPr>
          <w:t>Ressources mises à disposition</w:t>
        </w:r>
        <w:r w:rsidR="00F549E8">
          <w:rPr>
            <w:noProof/>
            <w:webHidden/>
          </w:rPr>
          <w:tab/>
        </w:r>
        <w:r w:rsidR="00F549E8">
          <w:rPr>
            <w:noProof/>
            <w:webHidden/>
          </w:rPr>
          <w:fldChar w:fldCharType="begin"/>
        </w:r>
        <w:r w:rsidR="00F549E8">
          <w:rPr>
            <w:noProof/>
            <w:webHidden/>
          </w:rPr>
          <w:instrText xml:space="preserve"> PAGEREF _Toc459896409 \h </w:instrText>
        </w:r>
        <w:r w:rsidR="00F549E8">
          <w:rPr>
            <w:noProof/>
            <w:webHidden/>
          </w:rPr>
        </w:r>
        <w:r w:rsidR="00F549E8">
          <w:rPr>
            <w:noProof/>
            <w:webHidden/>
          </w:rPr>
          <w:fldChar w:fldCharType="separate"/>
        </w:r>
        <w:r w:rsidR="00F549E8">
          <w:rPr>
            <w:noProof/>
            <w:webHidden/>
          </w:rPr>
          <w:t>22</w:t>
        </w:r>
        <w:r w:rsidR="00F549E8">
          <w:rPr>
            <w:noProof/>
            <w:webHidden/>
          </w:rPr>
          <w:fldChar w:fldCharType="end"/>
        </w:r>
      </w:hyperlink>
    </w:p>
    <w:p w:rsidR="00DC5CD9" w:rsidRDefault="00DC5CD9" w:rsidP="00DC5CD9">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DC5CD9" w:rsidRDefault="00DC5CD9" w:rsidP="00DC5CD9">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DC5CD9" w:rsidRDefault="00DC5CD9" w:rsidP="00DC5CD9"/>
    <w:p w:rsidR="00DC5CD9" w:rsidRDefault="00DC5CD9" w:rsidP="00F549E8">
      <w:pPr>
        <w:pStyle w:val="CACTitre1"/>
      </w:pPr>
      <w:bookmarkStart w:id="0" w:name="_Toc459896266"/>
      <w:r>
        <w:t>Présentation générale</w:t>
      </w:r>
      <w:bookmarkEnd w:id="0"/>
    </w:p>
    <w:p w:rsidR="00DC5CD9" w:rsidRDefault="00DC5CD9" w:rsidP="00DC5CD9">
      <w:pPr>
        <w:pStyle w:val="CACCorps"/>
      </w:pPr>
    </w:p>
    <w:p w:rsidR="00DC5CD9" w:rsidRDefault="00DC5CD9" w:rsidP="00F549E8">
      <w:pPr>
        <w:pStyle w:val="CACTitre1"/>
      </w:pPr>
      <w:bookmarkStart w:id="1" w:name="_Toc459896267"/>
      <w:r>
        <w:t>Préambule des normes IFRS</w:t>
      </w:r>
      <w:bookmarkEnd w:id="1"/>
    </w:p>
    <w:p w:rsidR="00DC5CD9" w:rsidRDefault="00DC5CD9" w:rsidP="00DC5CD9">
      <w:pPr>
        <w:pStyle w:val="CACCorps"/>
      </w:pPr>
    </w:p>
    <w:p w:rsidR="00DC5CD9" w:rsidRDefault="00DC5CD9" w:rsidP="00DC5CD9">
      <w:pPr>
        <w:pStyle w:val="CACTitre2"/>
      </w:pPr>
      <w:bookmarkStart w:id="2" w:name="_Toc459896268"/>
      <w:r>
        <w:t>Historique</w:t>
      </w:r>
      <w:bookmarkEnd w:id="2"/>
    </w:p>
    <w:p w:rsidR="00DC5CD9" w:rsidRDefault="00DC5CD9" w:rsidP="00DC5CD9">
      <w:pPr>
        <w:pStyle w:val="CACCorps"/>
      </w:pPr>
    </w:p>
    <w:p w:rsidR="00DC5CD9" w:rsidRDefault="00DC5CD9" w:rsidP="00DC5CD9">
      <w:pPr>
        <w:pStyle w:val="CACTitre3"/>
      </w:pPr>
      <w:bookmarkStart w:id="3" w:name="_Toc459896269"/>
      <w:r>
        <w:t>Historique au niveau de l’Union européenne</w:t>
      </w:r>
      <w:bookmarkEnd w:id="3"/>
    </w:p>
    <w:p w:rsidR="00DC5CD9" w:rsidRDefault="00DC5CD9" w:rsidP="00DC5CD9">
      <w:pPr>
        <w:pStyle w:val="CACCorps"/>
      </w:pPr>
    </w:p>
    <w:p w:rsidR="00DC5CD9" w:rsidRDefault="00DC5CD9" w:rsidP="00DC5CD9">
      <w:pPr>
        <w:pStyle w:val="CACCorps"/>
      </w:pPr>
      <w:r>
        <w:t xml:space="preserve">Le texte n’a pas été voté par la Commission européenne </w:t>
      </w:r>
    </w:p>
    <w:p w:rsidR="00DC5CD9" w:rsidRDefault="00DC5CD9" w:rsidP="00DC5CD9">
      <w:pPr>
        <w:pStyle w:val="CACCorps"/>
      </w:pPr>
    </w:p>
    <w:p w:rsidR="00DC5CD9" w:rsidRDefault="00DC5CD9" w:rsidP="00DC5CD9">
      <w:pPr>
        <w:pStyle w:val="CACTitre3"/>
      </w:pPr>
      <w:bookmarkStart w:id="4" w:name="_Toc459896270"/>
      <w:r>
        <w:t>Textes en cours d’adoption par la Communauté européenne</w:t>
      </w:r>
      <w:bookmarkEnd w:id="4"/>
    </w:p>
    <w:p w:rsidR="00DC5CD9" w:rsidRDefault="00DC5CD9" w:rsidP="00DC5CD9">
      <w:pPr>
        <w:pStyle w:val="CACCorps"/>
      </w:pPr>
    </w:p>
    <w:tbl>
      <w:tblPr>
        <w:tblW w:w="0" w:type="auto"/>
        <w:tblInd w:w="55" w:type="dxa"/>
        <w:tblLayout w:type="fixed"/>
        <w:tblCellMar>
          <w:left w:w="70" w:type="dxa"/>
          <w:right w:w="70" w:type="dxa"/>
        </w:tblCellMar>
        <w:tblLook w:val="04A0" w:firstRow="1" w:lastRow="0" w:firstColumn="1" w:lastColumn="0" w:noHBand="0" w:noVBand="1"/>
      </w:tblPr>
      <w:tblGrid>
        <w:gridCol w:w="1241"/>
        <w:gridCol w:w="2750"/>
        <w:gridCol w:w="1071"/>
        <w:gridCol w:w="1049"/>
        <w:gridCol w:w="993"/>
        <w:gridCol w:w="1056"/>
        <w:gridCol w:w="995"/>
      </w:tblGrid>
      <w:tr w:rsidR="00DC5CD9" w:rsidRPr="0095087C" w:rsidTr="00DC5CD9">
        <w:trPr>
          <w:trHeight w:val="600"/>
        </w:trPr>
        <w:tc>
          <w:tcPr>
            <w:tcW w:w="1241" w:type="dxa"/>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TYPE</w:t>
            </w:r>
          </w:p>
        </w:tc>
        <w:tc>
          <w:tcPr>
            <w:tcW w:w="2750" w:type="dxa"/>
            <w:tcBorders>
              <w:top w:val="single" w:sz="4" w:space="0" w:color="auto"/>
              <w:left w:val="nil"/>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TITRE</w:t>
            </w:r>
          </w:p>
        </w:tc>
        <w:tc>
          <w:tcPr>
            <w:tcW w:w="1071" w:type="dxa"/>
            <w:tcBorders>
              <w:top w:val="single" w:sz="4" w:space="0" w:color="auto"/>
              <w:left w:val="nil"/>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DATE D'ADOPTION IASB</w:t>
            </w:r>
          </w:p>
        </w:tc>
        <w:tc>
          <w:tcPr>
            <w:tcW w:w="1049" w:type="dxa"/>
            <w:tcBorders>
              <w:top w:val="single" w:sz="4" w:space="0" w:color="auto"/>
              <w:left w:val="nil"/>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DATE D'ENTREE EN VIGUEUR IASB</w:t>
            </w:r>
          </w:p>
        </w:tc>
        <w:tc>
          <w:tcPr>
            <w:tcW w:w="993" w:type="dxa"/>
            <w:tcBorders>
              <w:top w:val="single" w:sz="4" w:space="0" w:color="auto"/>
              <w:left w:val="nil"/>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DATE D'ADOPTION UE</w:t>
            </w:r>
          </w:p>
        </w:tc>
        <w:tc>
          <w:tcPr>
            <w:tcW w:w="1056" w:type="dxa"/>
            <w:tcBorders>
              <w:top w:val="single" w:sz="4" w:space="0" w:color="auto"/>
              <w:left w:val="nil"/>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DATE D'ENTREE EN VIGUEUR UE</w:t>
            </w:r>
          </w:p>
        </w:tc>
        <w:tc>
          <w:tcPr>
            <w:tcW w:w="995" w:type="dxa"/>
            <w:tcBorders>
              <w:top w:val="single" w:sz="4" w:space="0" w:color="auto"/>
              <w:left w:val="nil"/>
              <w:bottom w:val="single" w:sz="4" w:space="0" w:color="auto"/>
              <w:right w:val="single" w:sz="4" w:space="0" w:color="auto"/>
            </w:tcBorders>
            <w:shd w:val="clear" w:color="000000" w:fill="7030A0"/>
            <w:vAlign w:val="center"/>
            <w:hideMark/>
          </w:tcPr>
          <w:p w:rsidR="00DC5CD9" w:rsidRPr="0095087C" w:rsidRDefault="00DC5CD9" w:rsidP="00DC5CD9">
            <w:pPr>
              <w:jc w:val="center"/>
              <w:rPr>
                <w:rFonts w:eastAsia="Times New Roman" w:cs="Times New Roman"/>
                <w:b/>
                <w:bCs/>
                <w:color w:val="FFFFFF"/>
                <w:sz w:val="18"/>
                <w:szCs w:val="18"/>
                <w:lang w:eastAsia="fr-FR"/>
              </w:rPr>
            </w:pPr>
            <w:r w:rsidRPr="0095087C">
              <w:rPr>
                <w:rFonts w:eastAsia="Times New Roman" w:cs="Times New Roman"/>
                <w:b/>
                <w:bCs/>
                <w:color w:val="FFFFFF"/>
                <w:sz w:val="18"/>
                <w:szCs w:val="18"/>
                <w:lang w:eastAsia="fr-FR"/>
              </w:rPr>
              <w:t>CARACTERE APPLICABLE</w:t>
            </w:r>
          </w:p>
        </w:tc>
      </w:tr>
      <w:tr w:rsidR="00DC5CD9" w:rsidRPr="0095087C" w:rsidTr="00DC5CD9">
        <w:trPr>
          <w:trHeight w:val="300"/>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Préface</w:t>
            </w:r>
          </w:p>
        </w:tc>
        <w:tc>
          <w:tcPr>
            <w:tcW w:w="2750"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left"/>
              <w:rPr>
                <w:rFonts w:eastAsia="Times New Roman" w:cs="Times New Roman"/>
                <w:color w:val="000000"/>
                <w:sz w:val="18"/>
                <w:szCs w:val="18"/>
                <w:lang w:eastAsia="fr-FR"/>
              </w:rPr>
            </w:pPr>
            <w:r w:rsidRPr="0095087C">
              <w:rPr>
                <w:rFonts w:eastAsia="Times New Roman" w:cs="Times New Roman"/>
                <w:color w:val="000000"/>
                <w:sz w:val="18"/>
                <w:szCs w:val="18"/>
                <w:lang w:eastAsia="fr-FR"/>
              </w:rPr>
              <w:t>Préface aux normes IFRS</w:t>
            </w:r>
          </w:p>
        </w:tc>
        <w:tc>
          <w:tcPr>
            <w:tcW w:w="1071"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01/05/2002</w:t>
            </w:r>
          </w:p>
        </w:tc>
        <w:tc>
          <w:tcPr>
            <w:tcW w:w="1049"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01/05/2002</w:t>
            </w:r>
          </w:p>
        </w:tc>
        <w:tc>
          <w:tcPr>
            <w:tcW w:w="993"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Non adoptée</w:t>
            </w:r>
          </w:p>
        </w:tc>
        <w:tc>
          <w:tcPr>
            <w:tcW w:w="1056"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Non adoptée</w:t>
            </w:r>
          </w:p>
        </w:tc>
        <w:tc>
          <w:tcPr>
            <w:tcW w:w="995"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N/A</w:t>
            </w:r>
          </w:p>
        </w:tc>
      </w:tr>
      <w:tr w:rsidR="00DC5CD9" w:rsidRPr="0095087C" w:rsidTr="00DC5CD9">
        <w:trPr>
          <w:trHeight w:val="300"/>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Amendement</w:t>
            </w:r>
          </w:p>
        </w:tc>
        <w:tc>
          <w:tcPr>
            <w:tcW w:w="2750"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left"/>
              <w:rPr>
                <w:rFonts w:eastAsia="Times New Roman" w:cs="Times New Roman"/>
                <w:color w:val="000000"/>
                <w:sz w:val="18"/>
                <w:szCs w:val="18"/>
                <w:lang w:eastAsia="fr-FR"/>
              </w:rPr>
            </w:pPr>
            <w:r w:rsidRPr="0095087C">
              <w:rPr>
                <w:rFonts w:eastAsia="Times New Roman" w:cs="Times New Roman"/>
                <w:color w:val="000000"/>
                <w:sz w:val="18"/>
                <w:szCs w:val="18"/>
                <w:lang w:eastAsia="fr-FR"/>
              </w:rPr>
              <w:t>Augmentation du nombre de membres à l'IFRIC IC</w:t>
            </w:r>
          </w:p>
        </w:tc>
        <w:tc>
          <w:tcPr>
            <w:tcW w:w="1071"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01/12/2007</w:t>
            </w:r>
          </w:p>
        </w:tc>
        <w:tc>
          <w:tcPr>
            <w:tcW w:w="1049"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01/12/2007</w:t>
            </w:r>
          </w:p>
        </w:tc>
        <w:tc>
          <w:tcPr>
            <w:tcW w:w="993"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Non adoptée</w:t>
            </w:r>
          </w:p>
        </w:tc>
        <w:tc>
          <w:tcPr>
            <w:tcW w:w="1056"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Non adoptée</w:t>
            </w:r>
          </w:p>
        </w:tc>
        <w:tc>
          <w:tcPr>
            <w:tcW w:w="995" w:type="dxa"/>
            <w:tcBorders>
              <w:top w:val="nil"/>
              <w:left w:val="nil"/>
              <w:bottom w:val="single" w:sz="4" w:space="0" w:color="auto"/>
              <w:right w:val="single" w:sz="4" w:space="0" w:color="auto"/>
            </w:tcBorders>
            <w:shd w:val="clear" w:color="auto" w:fill="auto"/>
            <w:noWrap/>
            <w:vAlign w:val="center"/>
            <w:hideMark/>
          </w:tcPr>
          <w:p w:rsidR="00DC5CD9" w:rsidRPr="0095087C" w:rsidRDefault="00DC5CD9" w:rsidP="00DC5CD9">
            <w:pPr>
              <w:jc w:val="center"/>
              <w:rPr>
                <w:rFonts w:eastAsia="Times New Roman" w:cs="Times New Roman"/>
                <w:color w:val="000000"/>
                <w:sz w:val="18"/>
                <w:szCs w:val="18"/>
                <w:lang w:eastAsia="fr-FR"/>
              </w:rPr>
            </w:pPr>
            <w:r w:rsidRPr="0095087C">
              <w:rPr>
                <w:rFonts w:eastAsia="Times New Roman" w:cs="Times New Roman"/>
                <w:color w:val="000000"/>
                <w:sz w:val="18"/>
                <w:szCs w:val="18"/>
                <w:lang w:eastAsia="fr-FR"/>
              </w:rPr>
              <w:t>N/A</w:t>
            </w:r>
          </w:p>
        </w:tc>
      </w:tr>
    </w:tbl>
    <w:p w:rsidR="00DC5CD9" w:rsidRDefault="00DC5CD9" w:rsidP="00DC5CD9">
      <w:pPr>
        <w:pStyle w:val="CACCorps"/>
      </w:pPr>
    </w:p>
    <w:p w:rsidR="00DC5CD9" w:rsidRDefault="00DC5CD9" w:rsidP="00DC5CD9">
      <w:pPr>
        <w:pStyle w:val="CACTitre3"/>
      </w:pPr>
      <w:bookmarkStart w:id="5" w:name="_Toc459896271"/>
      <w:r>
        <w:t>Textes en cours d’adoption par l’IASB</w:t>
      </w:r>
      <w:bookmarkEnd w:id="5"/>
    </w:p>
    <w:p w:rsidR="00DC5CD9" w:rsidRDefault="00DC5CD9" w:rsidP="00DC5CD9">
      <w:pPr>
        <w:pStyle w:val="CACCorps"/>
      </w:pPr>
    </w:p>
    <w:p w:rsidR="00DC5CD9" w:rsidRDefault="00DC5CD9" w:rsidP="00DC5CD9">
      <w:pPr>
        <w:pStyle w:val="CACCorps"/>
      </w:pPr>
      <w:r>
        <w:t>Aucun</w:t>
      </w:r>
    </w:p>
    <w:p w:rsidR="00DC5CD9" w:rsidRDefault="00DC5CD9" w:rsidP="00DC5CD9">
      <w:pPr>
        <w:pStyle w:val="CACTitre3"/>
      </w:pPr>
      <w:bookmarkStart w:id="6" w:name="_Toc459896272"/>
      <w:r>
        <w:t>Projets IASB</w:t>
      </w:r>
      <w:bookmarkEnd w:id="6"/>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2"/>
      </w:pPr>
      <w:bookmarkStart w:id="7" w:name="_Toc459896273"/>
      <w:r>
        <w:t>Normes et interprétations liées</w:t>
      </w:r>
      <w:bookmarkEnd w:id="7"/>
    </w:p>
    <w:p w:rsidR="00DC5CD9" w:rsidRDefault="00DC5CD9" w:rsidP="00DC5CD9">
      <w:pPr>
        <w:pStyle w:val="CACCorps"/>
      </w:pPr>
    </w:p>
    <w:p w:rsidR="00DC5CD9" w:rsidRDefault="00DC5CD9" w:rsidP="00DC5CD9">
      <w:pPr>
        <w:pStyle w:val="CACCorps"/>
      </w:pPr>
      <w:r>
        <w:t>Tout le référentiel IFRS</w:t>
      </w:r>
    </w:p>
    <w:p w:rsidR="00DC5CD9" w:rsidRDefault="00DC5CD9" w:rsidP="00DC5CD9">
      <w:pPr>
        <w:pStyle w:val="CACCorps"/>
      </w:pPr>
    </w:p>
    <w:p w:rsidR="00DC5CD9" w:rsidRDefault="00DC5CD9" w:rsidP="00DC5CD9">
      <w:pPr>
        <w:pStyle w:val="CACTitre2"/>
      </w:pPr>
      <w:bookmarkStart w:id="8" w:name="_Toc459896274"/>
      <w:r>
        <w:t>Rejets IFRIC liés</w:t>
      </w:r>
      <w:bookmarkEnd w:id="8"/>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2"/>
      </w:pPr>
      <w:bookmarkStart w:id="9" w:name="_Toc459896275"/>
      <w:r>
        <w:t>Recommandations AMF et Décisions ESMA</w:t>
      </w:r>
      <w:bookmarkEnd w:id="9"/>
    </w:p>
    <w:p w:rsidR="00DC5CD9" w:rsidRDefault="00DC5CD9" w:rsidP="00DC5CD9">
      <w:pPr>
        <w:pStyle w:val="CACCorps"/>
      </w:pPr>
    </w:p>
    <w:p w:rsidR="00DC5CD9" w:rsidRDefault="00DC5CD9" w:rsidP="00DC5CD9">
      <w:pPr>
        <w:pStyle w:val="CACTitre3"/>
      </w:pPr>
      <w:bookmarkStart w:id="10" w:name="_Toc459896276"/>
      <w:r>
        <w:t>Recommandations AMF</w:t>
      </w:r>
      <w:bookmarkEnd w:id="10"/>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DC5CD9">
      <w:pPr>
        <w:pStyle w:val="CACTitre3"/>
      </w:pPr>
      <w:bookmarkStart w:id="11" w:name="_Toc459896277"/>
      <w:r>
        <w:t>Décisions ESMA</w:t>
      </w:r>
      <w:bookmarkEnd w:id="11"/>
    </w:p>
    <w:p w:rsidR="00DC5CD9" w:rsidRDefault="00DC5CD9" w:rsidP="00DC5CD9">
      <w:pPr>
        <w:pStyle w:val="CACCorps"/>
      </w:pPr>
    </w:p>
    <w:p w:rsidR="00DC5CD9" w:rsidRDefault="00DC5CD9" w:rsidP="00DC5CD9">
      <w:pPr>
        <w:pStyle w:val="CACCorps"/>
      </w:pPr>
      <w:r>
        <w:t>Aucune</w:t>
      </w:r>
    </w:p>
    <w:p w:rsidR="00DC5CD9" w:rsidRDefault="00DC5CD9">
      <w:pPr>
        <w:jc w:val="left"/>
      </w:pPr>
      <w:r>
        <w:br w:type="page"/>
      </w:r>
    </w:p>
    <w:p w:rsidR="00DC5CD9" w:rsidRDefault="00DC5CD9" w:rsidP="00DC5CD9">
      <w:pPr>
        <w:pStyle w:val="CACCorps"/>
      </w:pPr>
    </w:p>
    <w:p w:rsidR="00DC5CD9" w:rsidRDefault="00DC5CD9" w:rsidP="00DC5CD9">
      <w:pPr>
        <w:pStyle w:val="CACTitre2"/>
      </w:pPr>
      <w:bookmarkStart w:id="12" w:name="_Toc459896278"/>
      <w:r>
        <w:t>Rappels sur le texte</w:t>
      </w:r>
      <w:bookmarkEnd w:id="12"/>
    </w:p>
    <w:p w:rsidR="00DC5CD9" w:rsidRDefault="00DC5CD9" w:rsidP="00DC5CD9">
      <w:pPr>
        <w:pStyle w:val="CACCorps"/>
      </w:pPr>
    </w:p>
    <w:p w:rsidR="00DC5CD9" w:rsidRDefault="00DC5CD9" w:rsidP="00DC5CD9">
      <w:pPr>
        <w:pStyle w:val="CACCorps"/>
      </w:pPr>
      <w:r w:rsidRPr="0095087C">
        <w:t xml:space="preserve">L'objectif de la Préface aux </w:t>
      </w:r>
      <w:r>
        <w:t>IFRS est de définir</w:t>
      </w:r>
      <w:r w:rsidRPr="0095087C">
        <w:t xml:space="preserve"> la mission et les objectifs</w:t>
      </w:r>
      <w:r>
        <w:t xml:space="preserve"> de l’IASB</w:t>
      </w:r>
      <w:r w:rsidRPr="0095087C">
        <w:t>, le champ d'application de</w:t>
      </w:r>
      <w:r>
        <w:t>s IFRS</w:t>
      </w:r>
      <w:r w:rsidRPr="0095087C">
        <w:t xml:space="preserve">, </w:t>
      </w:r>
      <w:r>
        <w:t>de définir le processus d’élaboration des normes</w:t>
      </w:r>
      <w:r w:rsidRPr="0095087C">
        <w:t xml:space="preserve"> et interpréta</w:t>
      </w:r>
      <w:r>
        <w:t>tions, ainsi que de décrire les mesures d’entrée en vigueur</w:t>
      </w:r>
      <w:r w:rsidRPr="0095087C">
        <w:t>, le</w:t>
      </w:r>
      <w:r>
        <w:t>ur</w:t>
      </w:r>
      <w:r w:rsidRPr="0095087C">
        <w:t xml:space="preserve"> format et la langue des IFRS.</w:t>
      </w:r>
    </w:p>
    <w:p w:rsidR="00DC5CD9" w:rsidRDefault="00DC5CD9" w:rsidP="00DC5CD9">
      <w:pPr>
        <w:pStyle w:val="CACCorps"/>
      </w:pPr>
    </w:p>
    <w:p w:rsidR="00DC5CD9" w:rsidRDefault="00DC5CD9" w:rsidP="00DC5CD9">
      <w:pPr>
        <w:pStyle w:val="CACTitre2"/>
      </w:pPr>
      <w:bookmarkStart w:id="13" w:name="_Toc459896279"/>
      <w:r>
        <w:t>Ressources mises à disposition</w:t>
      </w:r>
      <w:bookmarkEnd w:id="13"/>
    </w:p>
    <w:p w:rsidR="00DC5CD9" w:rsidRDefault="00DC5CD9" w:rsidP="00DC5CD9">
      <w:pPr>
        <w:pStyle w:val="CACCorps"/>
      </w:pPr>
    </w:p>
    <w:p w:rsidR="00DC5CD9" w:rsidRDefault="00DC5CD9" w:rsidP="00F549E8">
      <w:pPr>
        <w:pStyle w:val="CACTitre1"/>
      </w:pPr>
      <w:bookmarkStart w:id="14" w:name="_Toc459896280"/>
      <w:r>
        <w:t>Cadre conceptuel des normes IFRS</w:t>
      </w:r>
      <w:bookmarkEnd w:id="14"/>
    </w:p>
    <w:p w:rsidR="00DC5CD9" w:rsidRDefault="00DC5CD9" w:rsidP="00DC5CD9">
      <w:pPr>
        <w:pStyle w:val="CACCorps"/>
      </w:pPr>
    </w:p>
    <w:p w:rsidR="00DC5CD9" w:rsidRDefault="00DC5CD9" w:rsidP="00DC5CD9">
      <w:pPr>
        <w:pStyle w:val="CACTitre2"/>
      </w:pPr>
      <w:bookmarkStart w:id="15" w:name="_Toc459896281"/>
      <w:r>
        <w:t>Historique</w:t>
      </w:r>
      <w:bookmarkEnd w:id="15"/>
    </w:p>
    <w:p w:rsidR="00DC5CD9" w:rsidRDefault="00DC5CD9" w:rsidP="00DC5CD9">
      <w:pPr>
        <w:pStyle w:val="CACCorps"/>
      </w:pPr>
    </w:p>
    <w:p w:rsidR="00DC5CD9" w:rsidRDefault="00DC5CD9" w:rsidP="00DC5CD9">
      <w:pPr>
        <w:pStyle w:val="CACTitre3"/>
      </w:pPr>
      <w:bookmarkStart w:id="16" w:name="_Toc459896282"/>
      <w:r>
        <w:t>Historique au niveau de l’Union européenne</w:t>
      </w:r>
      <w:bookmarkEnd w:id="16"/>
    </w:p>
    <w:p w:rsidR="00DC5CD9" w:rsidRDefault="00DC5CD9" w:rsidP="00DC5CD9">
      <w:pPr>
        <w:pStyle w:val="CACCorps"/>
      </w:pPr>
    </w:p>
    <w:p w:rsidR="00DC5CD9" w:rsidRDefault="00DC5CD9" w:rsidP="00DC5CD9">
      <w:pPr>
        <w:pStyle w:val="CACCorps"/>
      </w:pPr>
      <w:r>
        <w:t xml:space="preserve">Au niveau européen, le cadre conceptuel n'a pas fait l'objet d'une adoption par la Commission européenne (CE) et n'a donc pas été publié sous la forme d'un règlement (contrairement aux IAS et aux IFRS). Il a cependant été publié en annexe aux "Observations de la Commission européenne concernant certains articles du règlement CE n° 1606/2002", ce dernier règlement ayant introduit le référentiel comptable international dans la législation communautaire. </w:t>
      </w:r>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1053"/>
        <w:gridCol w:w="1442"/>
        <w:gridCol w:w="1253"/>
        <w:gridCol w:w="1292"/>
        <w:gridCol w:w="1230"/>
        <w:gridCol w:w="1282"/>
        <w:gridCol w:w="1603"/>
      </w:tblGrid>
      <w:tr w:rsidR="00DC5CD9" w:rsidRPr="00FC7DB6"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CARACTERE APPLICABLE</w:t>
            </w:r>
          </w:p>
        </w:tc>
      </w:tr>
      <w:tr w:rsidR="00DC5CD9" w:rsidRPr="00FC7DB6" w:rsidTr="00DC5CD9">
        <w:trPr>
          <w:trHeight w:val="300"/>
        </w:trPr>
        <w:tc>
          <w:tcPr>
            <w:tcW w:w="0" w:type="auto"/>
            <w:tcBorders>
              <w:top w:val="nil"/>
              <w:left w:val="single" w:sz="4" w:space="0" w:color="auto"/>
              <w:bottom w:val="single" w:sz="4" w:space="0" w:color="auto"/>
              <w:right w:val="single" w:sz="4" w:space="0" w:color="auto"/>
            </w:tcBorders>
            <w:shd w:val="clear" w:color="000000" w:fill="DA9694"/>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Cadre Conceptuel</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Cadre Conceptuel</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01/07/1989</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01/04/2001</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Non Adopté</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Non Adopté</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NON Caduc</w:t>
            </w:r>
          </w:p>
        </w:tc>
      </w:tr>
      <w:tr w:rsidR="00DC5CD9" w:rsidRPr="00FC7DB6" w:rsidTr="00DC5CD9">
        <w:trPr>
          <w:trHeight w:val="9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Cadre Conceptuel</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Cadre Conceptuel</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01/07/1989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01/09/2010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Non Adopté</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Non Adopté</w:t>
            </w:r>
          </w:p>
        </w:tc>
        <w:tc>
          <w:tcPr>
            <w:tcW w:w="0" w:type="auto"/>
            <w:tcBorders>
              <w:top w:val="nil"/>
              <w:left w:val="nil"/>
              <w:bottom w:val="single" w:sz="4" w:space="0" w:color="auto"/>
              <w:right w:val="single" w:sz="4" w:space="0" w:color="auto"/>
            </w:tcBorders>
            <w:shd w:val="clear" w:color="000000" w:fill="76EF6D"/>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Applicable par l'annexe au r</w:t>
            </w:r>
            <w:r>
              <w:rPr>
                <w:rFonts w:eastAsia="Times New Roman" w:cs="Times New Roman"/>
                <w:color w:val="000000"/>
                <w:sz w:val="18"/>
                <w:szCs w:val="18"/>
                <w:lang w:eastAsia="fr-FR"/>
              </w:rPr>
              <w:t>è</w:t>
            </w:r>
            <w:r w:rsidRPr="00FC7DB6">
              <w:rPr>
                <w:rFonts w:eastAsia="Times New Roman" w:cs="Times New Roman"/>
                <w:color w:val="000000"/>
                <w:sz w:val="18"/>
                <w:szCs w:val="18"/>
                <w:lang w:eastAsia="fr-FR"/>
              </w:rPr>
              <w:t>glement CE n°1606/2002</w:t>
            </w:r>
          </w:p>
        </w:tc>
      </w:tr>
    </w:tbl>
    <w:p w:rsidR="00DC5CD9" w:rsidRDefault="00DC5CD9" w:rsidP="00DC5CD9">
      <w:pPr>
        <w:pStyle w:val="CACCorps"/>
      </w:pPr>
    </w:p>
    <w:p w:rsidR="00DC5CD9" w:rsidRDefault="00DC5CD9" w:rsidP="00DC5CD9">
      <w:pPr>
        <w:pStyle w:val="CACTitre3"/>
      </w:pPr>
      <w:bookmarkStart w:id="17" w:name="_Toc459896283"/>
      <w:r>
        <w:t>Textes en cours d’adoption par la Communauté européenne</w:t>
      </w:r>
      <w:bookmarkEnd w:id="17"/>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3"/>
      </w:pPr>
      <w:bookmarkStart w:id="18" w:name="_Toc459896284"/>
      <w:r>
        <w:t>Textes en cours d’adoption par l’IASB</w:t>
      </w:r>
      <w:bookmarkEnd w:id="18"/>
    </w:p>
    <w:p w:rsidR="00DC5CD9" w:rsidRDefault="00DC5CD9" w:rsidP="00DC5CD9">
      <w:pPr>
        <w:pStyle w:val="CACCorps"/>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403"/>
        <w:gridCol w:w="1296"/>
        <w:gridCol w:w="2431"/>
        <w:gridCol w:w="1225"/>
        <w:gridCol w:w="1524"/>
      </w:tblGrid>
      <w:tr w:rsidR="00DC5CD9" w:rsidRPr="00FC7DB6" w:rsidTr="00DC5CD9">
        <w:trPr>
          <w:trHeight w:val="600"/>
        </w:trPr>
        <w:tc>
          <w:tcPr>
            <w:tcW w:w="0" w:type="auto"/>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TYPE</w:t>
            </w:r>
          </w:p>
        </w:tc>
        <w:tc>
          <w:tcPr>
            <w:tcW w:w="0" w:type="auto"/>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TITRE</w:t>
            </w:r>
          </w:p>
        </w:tc>
        <w:tc>
          <w:tcPr>
            <w:tcW w:w="0" w:type="auto"/>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Activité actuelle</w:t>
            </w:r>
          </w:p>
        </w:tc>
        <w:tc>
          <w:tcPr>
            <w:tcW w:w="0" w:type="auto"/>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Dans les 3 mois</w:t>
            </w:r>
          </w:p>
        </w:tc>
        <w:tc>
          <w:tcPr>
            <w:tcW w:w="0" w:type="auto"/>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Dans les 6 mois</w:t>
            </w:r>
          </w:p>
        </w:tc>
        <w:tc>
          <w:tcPr>
            <w:tcW w:w="0" w:type="auto"/>
            <w:shd w:val="clear" w:color="000000" w:fill="7030A0"/>
            <w:vAlign w:val="center"/>
            <w:hideMark/>
          </w:tcPr>
          <w:p w:rsidR="00DC5CD9" w:rsidRPr="00FC7DB6" w:rsidRDefault="00DC5CD9" w:rsidP="00DC5CD9">
            <w:pPr>
              <w:jc w:val="center"/>
              <w:rPr>
                <w:rFonts w:eastAsia="Times New Roman" w:cs="Times New Roman"/>
                <w:b/>
                <w:bCs/>
                <w:color w:val="FFFFFF"/>
                <w:sz w:val="18"/>
                <w:szCs w:val="18"/>
                <w:lang w:eastAsia="fr-FR"/>
              </w:rPr>
            </w:pPr>
            <w:r w:rsidRPr="00FC7DB6">
              <w:rPr>
                <w:rFonts w:eastAsia="Times New Roman" w:cs="Times New Roman"/>
                <w:b/>
                <w:bCs/>
                <w:color w:val="FFFFFF"/>
                <w:sz w:val="18"/>
                <w:szCs w:val="18"/>
                <w:lang w:eastAsia="fr-FR"/>
              </w:rPr>
              <w:t>Postérieur à 6 mois</w:t>
            </w:r>
          </w:p>
        </w:tc>
      </w:tr>
      <w:tr w:rsidR="00DC5CD9" w:rsidRPr="00FC7DB6" w:rsidTr="00DC5CD9">
        <w:trPr>
          <w:trHeight w:val="900"/>
        </w:trPr>
        <w:tc>
          <w:tcPr>
            <w:tcW w:w="0" w:type="auto"/>
            <w:shd w:val="clear" w:color="auto" w:fill="auto"/>
            <w:vAlign w:val="center"/>
            <w:hideMark/>
          </w:tcPr>
          <w:p w:rsidR="00DC5CD9" w:rsidRPr="00FC7DB6" w:rsidRDefault="00DC5CD9" w:rsidP="00DC5CD9">
            <w:pPr>
              <w:jc w:val="left"/>
              <w:rPr>
                <w:rFonts w:eastAsia="Times New Roman" w:cs="Times New Roman"/>
                <w:color w:val="000000"/>
                <w:sz w:val="18"/>
                <w:szCs w:val="18"/>
                <w:lang w:eastAsia="fr-FR"/>
              </w:rPr>
            </w:pPr>
            <w:r w:rsidRPr="00FC7DB6">
              <w:rPr>
                <w:rFonts w:eastAsia="Times New Roman" w:cs="Times New Roman"/>
                <w:color w:val="000000"/>
                <w:sz w:val="18"/>
                <w:szCs w:val="18"/>
                <w:lang w:eastAsia="fr-FR"/>
              </w:rPr>
              <w:t>Exposé Sondage</w:t>
            </w:r>
          </w:p>
        </w:tc>
        <w:tc>
          <w:tcPr>
            <w:tcW w:w="0" w:type="auto"/>
            <w:shd w:val="clear" w:color="auto" w:fill="auto"/>
            <w:vAlign w:val="center"/>
            <w:hideMark/>
          </w:tcPr>
          <w:p w:rsidR="00DC5CD9" w:rsidRPr="00FC7DB6" w:rsidRDefault="00DC5CD9" w:rsidP="00DC5CD9">
            <w:pPr>
              <w:jc w:val="left"/>
              <w:rPr>
                <w:rFonts w:eastAsia="Times New Roman" w:cs="Times New Roman"/>
                <w:color w:val="000000"/>
                <w:sz w:val="18"/>
                <w:szCs w:val="18"/>
                <w:lang w:eastAsia="fr-FR"/>
              </w:rPr>
            </w:pPr>
            <w:r w:rsidRPr="00FC7DB6">
              <w:rPr>
                <w:rFonts w:eastAsia="Times New Roman" w:cs="Times New Roman"/>
                <w:color w:val="000000"/>
                <w:sz w:val="18"/>
                <w:szCs w:val="18"/>
                <w:lang w:eastAsia="fr-FR"/>
              </w:rPr>
              <w:t>Cadre Conceptuel</w:t>
            </w:r>
          </w:p>
        </w:tc>
        <w:tc>
          <w:tcPr>
            <w:tcW w:w="0" w:type="auto"/>
            <w:shd w:val="clear" w:color="auto" w:fill="auto"/>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Analyse</w:t>
            </w:r>
          </w:p>
        </w:tc>
        <w:tc>
          <w:tcPr>
            <w:tcW w:w="0" w:type="auto"/>
            <w:shd w:val="clear" w:color="auto" w:fill="auto"/>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Décision de la Direction du Projet</w:t>
            </w:r>
          </w:p>
        </w:tc>
        <w:tc>
          <w:tcPr>
            <w:tcW w:w="0" w:type="auto"/>
            <w:shd w:val="clear" w:color="auto" w:fill="auto"/>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 </w:t>
            </w:r>
          </w:p>
        </w:tc>
        <w:tc>
          <w:tcPr>
            <w:tcW w:w="0" w:type="auto"/>
            <w:shd w:val="clear" w:color="auto" w:fill="auto"/>
            <w:noWrap/>
            <w:vAlign w:val="center"/>
            <w:hideMark/>
          </w:tcPr>
          <w:p w:rsidR="00DC5CD9" w:rsidRPr="00FC7DB6" w:rsidRDefault="00DC5CD9" w:rsidP="00DC5CD9">
            <w:pPr>
              <w:jc w:val="center"/>
              <w:rPr>
                <w:rFonts w:eastAsia="Times New Roman" w:cs="Times New Roman"/>
                <w:color w:val="000000"/>
                <w:sz w:val="18"/>
                <w:szCs w:val="18"/>
                <w:lang w:eastAsia="fr-FR"/>
              </w:rPr>
            </w:pPr>
            <w:r w:rsidRPr="00FC7DB6">
              <w:rPr>
                <w:rFonts w:eastAsia="Times New Roman" w:cs="Times New Roman"/>
                <w:color w:val="000000"/>
                <w:sz w:val="18"/>
                <w:szCs w:val="18"/>
                <w:lang w:eastAsia="fr-FR"/>
              </w:rPr>
              <w:t> </w:t>
            </w:r>
          </w:p>
        </w:tc>
      </w:tr>
    </w:tbl>
    <w:p w:rsidR="00DC5CD9" w:rsidRDefault="00DC5CD9" w:rsidP="00DC5CD9">
      <w:pPr>
        <w:pStyle w:val="CACTitre3"/>
        <w:numPr>
          <w:ilvl w:val="0"/>
          <w:numId w:val="0"/>
        </w:numPr>
        <w:ind w:left="1224"/>
      </w:pPr>
    </w:p>
    <w:p w:rsidR="00DC5CD9" w:rsidRDefault="00DC5CD9" w:rsidP="00DC5CD9">
      <w:pPr>
        <w:pStyle w:val="CACTitre3"/>
      </w:pPr>
      <w:bookmarkStart w:id="19" w:name="_Toc459896285"/>
      <w:r>
        <w:t>Projets IASB</w:t>
      </w:r>
      <w:bookmarkEnd w:id="19"/>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2"/>
      </w:pPr>
      <w:bookmarkStart w:id="20" w:name="_Toc459896286"/>
      <w:r>
        <w:t>Normes et interprétations liées</w:t>
      </w:r>
      <w:bookmarkEnd w:id="20"/>
    </w:p>
    <w:p w:rsidR="00DC5CD9" w:rsidRDefault="00DC5CD9" w:rsidP="00DC5CD9">
      <w:pPr>
        <w:pStyle w:val="CACCorps"/>
      </w:pPr>
    </w:p>
    <w:p w:rsidR="00DC5CD9" w:rsidRDefault="00DC5CD9" w:rsidP="00DC5CD9">
      <w:pPr>
        <w:pStyle w:val="CACCorps"/>
      </w:pPr>
      <w:r>
        <w:t>Tout le référentiel IFRS</w:t>
      </w:r>
    </w:p>
    <w:p w:rsidR="00DC5CD9" w:rsidRDefault="00DC5CD9" w:rsidP="00DC5CD9">
      <w:pPr>
        <w:pStyle w:val="CACCorps"/>
      </w:pPr>
    </w:p>
    <w:p w:rsidR="00DC5CD9" w:rsidRDefault="00DC5CD9" w:rsidP="00DC5CD9">
      <w:pPr>
        <w:pStyle w:val="CACTitre2"/>
      </w:pPr>
      <w:bookmarkStart w:id="21" w:name="_Toc459896287"/>
      <w:r>
        <w:t>Rejets IFRIC liés</w:t>
      </w:r>
      <w:bookmarkEnd w:id="21"/>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2"/>
      </w:pPr>
      <w:bookmarkStart w:id="22" w:name="_Toc459896288"/>
      <w:r>
        <w:t>Recommandations AMF et Décisions ESMA</w:t>
      </w:r>
      <w:bookmarkEnd w:id="22"/>
    </w:p>
    <w:p w:rsidR="00DC5CD9" w:rsidRDefault="00DC5CD9" w:rsidP="00DC5CD9">
      <w:pPr>
        <w:pStyle w:val="CACCorps"/>
      </w:pPr>
    </w:p>
    <w:p w:rsidR="00DC5CD9" w:rsidRDefault="00DC5CD9" w:rsidP="00DC5CD9">
      <w:pPr>
        <w:pStyle w:val="CACTitre3"/>
      </w:pPr>
      <w:bookmarkStart w:id="23" w:name="_Toc459896289"/>
      <w:r>
        <w:t>Recommandations AMF</w:t>
      </w:r>
      <w:bookmarkEnd w:id="23"/>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DC5CD9">
      <w:pPr>
        <w:pStyle w:val="CACTitre3"/>
      </w:pPr>
      <w:bookmarkStart w:id="24" w:name="_Toc459896290"/>
      <w:r>
        <w:t>Décisions ESMA</w:t>
      </w:r>
      <w:bookmarkEnd w:id="24"/>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DC5CD9">
      <w:pPr>
        <w:pStyle w:val="CACTitre2"/>
      </w:pPr>
      <w:bookmarkStart w:id="25" w:name="_Toc459896291"/>
      <w:r>
        <w:t>Rappels sur le texte</w:t>
      </w:r>
      <w:bookmarkEnd w:id="25"/>
    </w:p>
    <w:p w:rsidR="00DC5CD9" w:rsidRDefault="00DC5CD9" w:rsidP="00DC5CD9">
      <w:pPr>
        <w:pStyle w:val="CACCorps"/>
      </w:pPr>
    </w:p>
    <w:p w:rsidR="00DC5CD9" w:rsidRDefault="00DC5CD9" w:rsidP="00DC5CD9">
      <w:pPr>
        <w:pStyle w:val="CACCorps"/>
      </w:pPr>
    </w:p>
    <w:p w:rsidR="00DC5CD9" w:rsidRDefault="00DC5CD9" w:rsidP="00DC5CD9">
      <w:pPr>
        <w:pStyle w:val="CACTitre2"/>
      </w:pPr>
      <w:bookmarkStart w:id="26" w:name="_Toc459896292"/>
      <w:r>
        <w:t>Ressources mises à disposition</w:t>
      </w:r>
      <w:bookmarkEnd w:id="26"/>
    </w:p>
    <w:p w:rsidR="00DC5CD9" w:rsidRDefault="00DC5CD9" w:rsidP="00DC5CD9">
      <w:pPr>
        <w:pStyle w:val="CACCorps"/>
      </w:pPr>
    </w:p>
    <w:p w:rsidR="00DC5CD9" w:rsidRDefault="00DC5CD9" w:rsidP="00DC5CD9">
      <w:pPr>
        <w:pStyle w:val="CACCorps"/>
      </w:pPr>
    </w:p>
    <w:p w:rsidR="00DC5CD9" w:rsidRDefault="00DC5CD9" w:rsidP="00F549E8">
      <w:pPr>
        <w:pStyle w:val="CACTitre1"/>
        <w:numPr>
          <w:ilvl w:val="0"/>
          <w:numId w:val="21"/>
        </w:numPr>
      </w:pPr>
      <w:bookmarkStart w:id="27" w:name="_Toc459896293"/>
      <w:r>
        <w:t>IFRS 1 – Première adoption des normes ifrs</w:t>
      </w:r>
      <w:bookmarkEnd w:id="27"/>
    </w:p>
    <w:p w:rsidR="00DC5CD9" w:rsidRDefault="00DC5CD9" w:rsidP="00DC5CD9">
      <w:pPr>
        <w:pStyle w:val="CACCorps"/>
      </w:pPr>
    </w:p>
    <w:p w:rsidR="00DC5CD9" w:rsidRDefault="00DC5CD9" w:rsidP="00DC5CD9">
      <w:pPr>
        <w:pStyle w:val="CACTitre2"/>
      </w:pPr>
      <w:bookmarkStart w:id="28" w:name="_Toc459896294"/>
      <w:r>
        <w:t>Historique</w:t>
      </w:r>
      <w:bookmarkEnd w:id="28"/>
    </w:p>
    <w:p w:rsidR="00DC5CD9" w:rsidRDefault="00DC5CD9" w:rsidP="00DC5CD9">
      <w:pPr>
        <w:pStyle w:val="CACCorps"/>
      </w:pPr>
    </w:p>
    <w:p w:rsidR="00DC5CD9" w:rsidRDefault="00DC5CD9" w:rsidP="00DC5CD9">
      <w:pPr>
        <w:pStyle w:val="CACTitre3"/>
      </w:pPr>
      <w:bookmarkStart w:id="29" w:name="_Toc459896295"/>
      <w:r>
        <w:t>Historique au niveau de l’Union européenne</w:t>
      </w:r>
      <w:bookmarkEnd w:id="29"/>
    </w:p>
    <w:p w:rsidR="00DC5CD9" w:rsidRDefault="00DC5CD9" w:rsidP="00DC5CD9">
      <w:pPr>
        <w:pStyle w:val="CACCorps"/>
      </w:pPr>
    </w:p>
    <w:tbl>
      <w:tblPr>
        <w:tblW w:w="5000" w:type="pct"/>
        <w:tblCellMar>
          <w:left w:w="70" w:type="dxa"/>
          <w:right w:w="70" w:type="dxa"/>
        </w:tblCellMar>
        <w:tblLook w:val="04A0" w:firstRow="1" w:lastRow="0" w:firstColumn="1" w:lastColumn="0" w:noHBand="0" w:noVBand="1"/>
      </w:tblPr>
      <w:tblGrid>
        <w:gridCol w:w="1166"/>
        <w:gridCol w:w="1612"/>
        <w:gridCol w:w="1314"/>
        <w:gridCol w:w="1267"/>
        <w:gridCol w:w="1267"/>
        <w:gridCol w:w="1550"/>
        <w:gridCol w:w="1034"/>
      </w:tblGrid>
      <w:tr w:rsidR="00DC5CD9" w:rsidRPr="004131AE" w:rsidTr="00DC5CD9">
        <w:trPr>
          <w:cantSplit/>
          <w:trHeight w:val="600"/>
          <w:tblHeader/>
        </w:trPr>
        <w:tc>
          <w:tcPr>
            <w:tcW w:w="662" w:type="pct"/>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TYPE</w:t>
            </w:r>
          </w:p>
        </w:tc>
        <w:tc>
          <w:tcPr>
            <w:tcW w:w="1556" w:type="pct"/>
            <w:tcBorders>
              <w:top w:val="single" w:sz="4" w:space="0" w:color="auto"/>
              <w:left w:val="nil"/>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TITRE</w:t>
            </w:r>
          </w:p>
        </w:tc>
        <w:tc>
          <w:tcPr>
            <w:tcW w:w="534" w:type="pct"/>
            <w:tcBorders>
              <w:top w:val="single" w:sz="4" w:space="0" w:color="auto"/>
              <w:left w:val="nil"/>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DATE D'ADOPTION IASB</w:t>
            </w:r>
          </w:p>
        </w:tc>
        <w:tc>
          <w:tcPr>
            <w:tcW w:w="540" w:type="pct"/>
            <w:tcBorders>
              <w:top w:val="single" w:sz="4" w:space="0" w:color="auto"/>
              <w:left w:val="nil"/>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DATE D'ENTREE EN VIGUEUR IASB</w:t>
            </w:r>
          </w:p>
        </w:tc>
        <w:tc>
          <w:tcPr>
            <w:tcW w:w="534" w:type="pct"/>
            <w:tcBorders>
              <w:top w:val="single" w:sz="4" w:space="0" w:color="auto"/>
              <w:left w:val="nil"/>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DATE D'ADOPTION UE</w:t>
            </w:r>
          </w:p>
        </w:tc>
        <w:tc>
          <w:tcPr>
            <w:tcW w:w="534" w:type="pct"/>
            <w:tcBorders>
              <w:top w:val="single" w:sz="4" w:space="0" w:color="auto"/>
              <w:left w:val="nil"/>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DATE D'ENTREE EN VIGUEUR UE</w:t>
            </w:r>
          </w:p>
        </w:tc>
        <w:tc>
          <w:tcPr>
            <w:tcW w:w="639" w:type="pct"/>
            <w:tcBorders>
              <w:top w:val="single" w:sz="4" w:space="0" w:color="auto"/>
              <w:left w:val="nil"/>
              <w:bottom w:val="single" w:sz="4" w:space="0" w:color="auto"/>
              <w:right w:val="single" w:sz="4" w:space="0" w:color="auto"/>
            </w:tcBorders>
            <w:shd w:val="clear" w:color="000000" w:fill="7030A0"/>
            <w:vAlign w:val="center"/>
            <w:hideMark/>
          </w:tcPr>
          <w:p w:rsidR="00DC5CD9" w:rsidRPr="004131AE" w:rsidRDefault="00DC5CD9" w:rsidP="00DC5CD9">
            <w:pPr>
              <w:jc w:val="center"/>
              <w:rPr>
                <w:rFonts w:asciiTheme="minorHAnsi" w:eastAsia="Times New Roman" w:hAnsiTheme="minorHAnsi" w:cs="Times New Roman"/>
                <w:b/>
                <w:bCs/>
                <w:color w:val="FFFFFF"/>
                <w:sz w:val="18"/>
                <w:szCs w:val="18"/>
                <w:lang w:eastAsia="fr-FR"/>
              </w:rPr>
            </w:pPr>
            <w:r w:rsidRPr="004131AE">
              <w:rPr>
                <w:rFonts w:asciiTheme="minorHAnsi" w:eastAsia="Times New Roman" w:hAnsiTheme="minorHAnsi" w:cs="Times New Roman"/>
                <w:b/>
                <w:bCs/>
                <w:color w:val="FFFFFF"/>
                <w:sz w:val="18"/>
                <w:szCs w:val="18"/>
                <w:lang w:eastAsia="fr-FR"/>
              </w:rPr>
              <w:t>CARACTERE APPLICABLE</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Norme</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Première adoption des normes internationales d’information financière </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01/06/2003</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06/04/2004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07/05/2004</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d'IAS 39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31/03/2004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19/09/2004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de cohérence des normes</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3</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31/03/2004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19/09/2004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de cohérence des normes</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31/03/2004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19/09/2004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de cohérence des normes</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31/03/2004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19/09/2004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de cohérence des normes</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 révision d'IAS 8, IAS 16, IAS 21</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18/12/2003</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29/12/2004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de cohérence des normes</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2</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19/04/2004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04/02/2005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07/02/2005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9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lastRenderedPageBreak/>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l'amendement d'IAS 39 : Transition et comptabilsiation initiale des actifs financiers et des passifs financiers</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17/12/2004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25/10/2005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12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lié à l'amanedement d'IAS 39 sur la comptabilisation et l'évaluation, complétée des dispositions concernant l’utilisation de l’option de la juste valeur</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16/06/2005</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15/11/2005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01/01/2005</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09/12/2004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08/11/2005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d'IFRIC 4</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02/12/2004</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08/11/2005</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Exemption d'IFRS 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30/06/2005</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11/01/2006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01/01/2006</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Amendements suite à l'adoption d'IFRS 7. </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18/08/2005</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01/01/2007</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11/01/2006</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01/01/2007</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Amendements suite à la révision d'IAS 23</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29/03/2007</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10/12/2008</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 de cohérence des normes</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 révision d'IAS 1</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06/09/2007</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17/12/2008</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9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Suite à l'amendement d'IAS 1 et IAS 32 Instruments financiers remboursables au gré du porteur et obligations à la suite d’une liquidation </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14/02/2008</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21/01/2009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Coût d’une participation dans une filiale, une entité contrôlée conjointement ou une entreprise associée</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22/05/2008</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23/01/2009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01/01/2009</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 révision d'IAS 27</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10/01/2008</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03/06/2009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01/07/2009</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 révision d'IFRS 3</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10/01/2008</w:t>
            </w:r>
          </w:p>
        </w:tc>
        <w:tc>
          <w:tcPr>
            <w:tcW w:w="540"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03/06/2009</w:t>
            </w:r>
          </w:p>
        </w:tc>
        <w:tc>
          <w:tcPr>
            <w:tcW w:w="534" w:type="pct"/>
            <w:tcBorders>
              <w:top w:val="nil"/>
              <w:left w:val="nil"/>
              <w:bottom w:val="single" w:sz="4" w:space="0" w:color="auto"/>
              <w:right w:val="single" w:sz="4" w:space="0" w:color="auto"/>
            </w:tcBorders>
            <w:shd w:val="clear" w:color="000000" w:fill="DA9694"/>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01/07/2009</w:t>
            </w:r>
          </w:p>
        </w:tc>
        <w:tc>
          <w:tcPr>
            <w:tcW w:w="639" w:type="pct"/>
            <w:tcBorders>
              <w:top w:val="nil"/>
              <w:left w:val="nil"/>
              <w:bottom w:val="single" w:sz="4" w:space="0" w:color="auto"/>
              <w:right w:val="single" w:sz="4" w:space="0" w:color="auto"/>
            </w:tcBorders>
            <w:shd w:val="clear" w:color="000000" w:fill="DA9694"/>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NON Caduc</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Révision Norme</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Première adoption des normes internationales d’information financière </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27/11/2008</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01/07/2009</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25/11/2009</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01/01/2010</w:t>
            </w:r>
          </w:p>
        </w:tc>
        <w:tc>
          <w:tcPr>
            <w:tcW w:w="639"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lastRenderedPageBreak/>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Exemptions additionnelles pour les premiers adoptants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23/07/2009</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01/01/2010</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23/06/2010</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01/01/2010</w:t>
            </w:r>
          </w:p>
        </w:tc>
        <w:tc>
          <w:tcPr>
            <w:tcW w:w="639"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9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Exemption limitée de l’obligation de fournir des informations comparatives selon IFRS 7 pour les premiers adoptants </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28/01/2010</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01/07/2010</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30/06/2010</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01/07/2010</w:t>
            </w:r>
          </w:p>
        </w:tc>
        <w:tc>
          <w:tcPr>
            <w:tcW w:w="639"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21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Améliorations Annuelles 2008-2010</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Changement de principes comptables entre les comptes</w:t>
            </w:r>
            <w:r w:rsidRPr="004131AE">
              <w:rPr>
                <w:rFonts w:asciiTheme="minorHAnsi" w:eastAsia="Times New Roman" w:hAnsiTheme="minorHAnsi" w:cs="Times New Roman"/>
                <w:color w:val="000000"/>
                <w:sz w:val="18"/>
                <w:szCs w:val="18"/>
                <w:lang w:eastAsia="fr-FR"/>
              </w:rPr>
              <w:br/>
              <w:t xml:space="preserve">intermédiaires présentés en IFRS après la date de transition et les premiers comptes annuels IFRS </w:t>
            </w:r>
            <w:r w:rsidRPr="004131AE">
              <w:rPr>
                <w:rFonts w:asciiTheme="minorHAnsi" w:eastAsia="Times New Roman" w:hAnsiTheme="minorHAnsi" w:cs="Times New Roman"/>
                <w:color w:val="000000"/>
                <w:sz w:val="18"/>
                <w:szCs w:val="18"/>
                <w:lang w:eastAsia="fr-FR"/>
              </w:rPr>
              <w:br/>
              <w:t>Base de réévaluation du coût présumé</w:t>
            </w:r>
            <w:r w:rsidRPr="004131AE">
              <w:rPr>
                <w:rFonts w:asciiTheme="minorHAnsi" w:eastAsia="Times New Roman" w:hAnsiTheme="minorHAnsi" w:cs="Times New Roman"/>
                <w:color w:val="000000"/>
                <w:sz w:val="18"/>
                <w:szCs w:val="18"/>
                <w:lang w:eastAsia="fr-FR"/>
              </w:rPr>
              <w:br/>
              <w:t>Utilisation du coût présumé pour les activités à tarifs réglementés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06/05/2010</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01/01/2011</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18/02/2011</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01/01/2011</w:t>
            </w:r>
          </w:p>
        </w:tc>
        <w:tc>
          <w:tcPr>
            <w:tcW w:w="639"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Suite à l'amendement d'IAS 1 Présentation des autres éléments du résultat global </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16/06/2012</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01/07/2012</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05/06/2012</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01/07/2012</w:t>
            </w:r>
          </w:p>
        </w:tc>
        <w:tc>
          <w:tcPr>
            <w:tcW w:w="639"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Pr>
                <w:rFonts w:asciiTheme="minorHAnsi" w:eastAsia="Times New Roman" w:hAnsiTheme="minorHAnsi" w:cs="Times New Roman"/>
                <w:color w:val="000000"/>
                <w:sz w:val="18"/>
                <w:szCs w:val="18"/>
                <w:lang w:eastAsia="fr-FR"/>
              </w:rPr>
              <w:t>Suite à l'amendement</w:t>
            </w:r>
            <w:r w:rsidRPr="004131AE">
              <w:rPr>
                <w:rFonts w:asciiTheme="minorHAnsi" w:eastAsia="Times New Roman" w:hAnsiTheme="minorHAnsi" w:cs="Times New Roman"/>
                <w:color w:val="000000"/>
                <w:sz w:val="18"/>
                <w:szCs w:val="18"/>
                <w:lang w:eastAsia="fr-FR"/>
              </w:rPr>
              <w:t xml:space="preserve"> d'IAS 19 Informations sur les régimes de prestations définies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16/06/2012</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05/06/2012</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639"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10</w:t>
            </w:r>
          </w:p>
        </w:tc>
        <w:tc>
          <w:tcPr>
            <w:tcW w:w="534"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12/05/2011</w:t>
            </w:r>
          </w:p>
        </w:tc>
        <w:tc>
          <w:tcPr>
            <w:tcW w:w="540"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534"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11/12/2012</w:t>
            </w:r>
          </w:p>
        </w:tc>
        <w:tc>
          <w:tcPr>
            <w:tcW w:w="534"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01/01/2014</w:t>
            </w:r>
          </w:p>
        </w:tc>
        <w:tc>
          <w:tcPr>
            <w:tcW w:w="639"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11</w:t>
            </w:r>
          </w:p>
        </w:tc>
        <w:tc>
          <w:tcPr>
            <w:tcW w:w="534"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12/05/2011</w:t>
            </w:r>
          </w:p>
        </w:tc>
        <w:tc>
          <w:tcPr>
            <w:tcW w:w="540"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534"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11/12/2012</w:t>
            </w:r>
          </w:p>
        </w:tc>
        <w:tc>
          <w:tcPr>
            <w:tcW w:w="534"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01/01/2014</w:t>
            </w:r>
          </w:p>
        </w:tc>
        <w:tc>
          <w:tcPr>
            <w:tcW w:w="639" w:type="pct"/>
            <w:tcBorders>
              <w:top w:val="nil"/>
              <w:left w:val="nil"/>
              <w:bottom w:val="single" w:sz="4" w:space="0" w:color="auto"/>
              <w:right w:val="single" w:sz="4" w:space="0" w:color="auto"/>
            </w:tcBorders>
            <w:shd w:val="clear" w:color="000000" w:fill="76EF6D"/>
            <w:noWrap/>
            <w:vAlign w:val="bottom"/>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Hyperinflation grave et suppression des dates d’application fermes pour les premiers adoptants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20/12/2010</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01/07/2011</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11/12/2012</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639"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de l'interprétation IFRIC 20</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20/12/2010</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01/07/2011</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11/12/2012</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639"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Suite à l'adoption d'IFRS 13</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20/12/2010</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01/07/2011</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11/12/2012</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639"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3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Amendement</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Prêts publics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Activité actuelle</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Dans les 3 mois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Dans les 6 mois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Postérieur à 6 mois</w:t>
            </w:r>
          </w:p>
        </w:tc>
        <w:tc>
          <w:tcPr>
            <w:tcW w:w="639"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6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Améliorations Annuelles 2009-2011</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Application répétée de IFRS 1</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17/05/2012</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27/03/2013</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639"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r w:rsidR="00DC5CD9" w:rsidRPr="004131AE" w:rsidTr="00DC5CD9">
        <w:trPr>
          <w:cantSplit/>
          <w:trHeight w:val="900"/>
        </w:trPr>
        <w:tc>
          <w:tcPr>
            <w:tcW w:w="662" w:type="pct"/>
            <w:tcBorders>
              <w:top w:val="nil"/>
              <w:left w:val="single" w:sz="4" w:space="0" w:color="auto"/>
              <w:bottom w:val="single" w:sz="4" w:space="0" w:color="auto"/>
              <w:right w:val="single" w:sz="4" w:space="0" w:color="auto"/>
            </w:tcBorders>
            <w:shd w:val="clear" w:color="000000" w:fill="76EF6D"/>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lastRenderedPageBreak/>
              <w:t>Améliorations Annuelles 2009-2011</w:t>
            </w:r>
          </w:p>
        </w:tc>
        <w:tc>
          <w:tcPr>
            <w:tcW w:w="1556" w:type="pct"/>
            <w:tcBorders>
              <w:top w:val="nil"/>
              <w:left w:val="nil"/>
              <w:bottom w:val="single" w:sz="4" w:space="0" w:color="auto"/>
              <w:right w:val="single" w:sz="4" w:space="0" w:color="auto"/>
            </w:tcBorders>
            <w:shd w:val="clear" w:color="000000" w:fill="76EF6D"/>
            <w:vAlign w:val="center"/>
            <w:hideMark/>
          </w:tcPr>
          <w:p w:rsidR="00DC5CD9" w:rsidRPr="004131AE" w:rsidRDefault="00DC5CD9" w:rsidP="00DC5CD9">
            <w:pPr>
              <w:jc w:val="left"/>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 xml:space="preserve"> Coûts d’emprunt relatifs à des actifs qualifiés dont la date de commencement pour l’incorporation est antérieure à la date de transition aux IFRS</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17/05/2012</w:t>
            </w:r>
          </w:p>
        </w:tc>
        <w:tc>
          <w:tcPr>
            <w:tcW w:w="540"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27/03/2013</w:t>
            </w:r>
          </w:p>
        </w:tc>
        <w:tc>
          <w:tcPr>
            <w:tcW w:w="534"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01/01/2013</w:t>
            </w:r>
          </w:p>
        </w:tc>
        <w:tc>
          <w:tcPr>
            <w:tcW w:w="639" w:type="pct"/>
            <w:tcBorders>
              <w:top w:val="nil"/>
              <w:left w:val="nil"/>
              <w:bottom w:val="single" w:sz="4" w:space="0" w:color="auto"/>
              <w:right w:val="single" w:sz="4" w:space="0" w:color="auto"/>
            </w:tcBorders>
            <w:shd w:val="clear" w:color="000000" w:fill="76EF6D"/>
            <w:noWrap/>
            <w:vAlign w:val="center"/>
            <w:hideMark/>
          </w:tcPr>
          <w:p w:rsidR="00DC5CD9" w:rsidRPr="004131AE" w:rsidRDefault="00DC5CD9" w:rsidP="00DC5CD9">
            <w:pPr>
              <w:jc w:val="center"/>
              <w:rPr>
                <w:rFonts w:asciiTheme="minorHAnsi" w:eastAsia="Times New Roman" w:hAnsiTheme="minorHAnsi" w:cs="Times New Roman"/>
                <w:color w:val="000000"/>
                <w:sz w:val="18"/>
                <w:szCs w:val="18"/>
                <w:lang w:eastAsia="fr-FR"/>
              </w:rPr>
            </w:pPr>
            <w:r w:rsidRPr="004131AE">
              <w:rPr>
                <w:rFonts w:asciiTheme="minorHAnsi" w:eastAsia="Times New Roman" w:hAnsiTheme="minorHAnsi" w:cs="Times New Roman"/>
                <w:color w:val="000000"/>
                <w:sz w:val="18"/>
                <w:szCs w:val="18"/>
                <w:lang w:eastAsia="fr-FR"/>
              </w:rPr>
              <w:t>En vigueur</w:t>
            </w:r>
          </w:p>
        </w:tc>
      </w:tr>
    </w:tbl>
    <w:p w:rsidR="00DC5CD9" w:rsidRDefault="00DC5CD9" w:rsidP="00DC5CD9">
      <w:pPr>
        <w:pStyle w:val="CACCorps"/>
      </w:pPr>
    </w:p>
    <w:p w:rsidR="00DC5CD9" w:rsidRDefault="00DC5CD9" w:rsidP="00DC5CD9">
      <w:pPr>
        <w:pStyle w:val="CACTitre3"/>
      </w:pPr>
      <w:bookmarkStart w:id="30" w:name="_Toc459896296"/>
      <w:r>
        <w:t>Textes en cours d’adoption par la Communauté européenne</w:t>
      </w:r>
      <w:bookmarkEnd w:id="30"/>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3"/>
      </w:pPr>
      <w:bookmarkStart w:id="31" w:name="_Toc459896297"/>
      <w:r>
        <w:t>Textes en cours d’adoption par l’IASB</w:t>
      </w:r>
      <w:bookmarkEnd w:id="31"/>
    </w:p>
    <w:p w:rsidR="00DC5CD9" w:rsidRDefault="00DC5CD9" w:rsidP="00DC5CD9">
      <w:pPr>
        <w:pStyle w:val="CACCorps"/>
      </w:pPr>
    </w:p>
    <w:p w:rsidR="00DC5CD9" w:rsidRDefault="00DC5CD9" w:rsidP="00DC5CD9">
      <w:pPr>
        <w:pStyle w:val="CACCorps"/>
      </w:pPr>
      <w:r>
        <w:t>Aucun</w:t>
      </w:r>
    </w:p>
    <w:p w:rsidR="00DC5CD9" w:rsidRDefault="00DC5CD9" w:rsidP="00DC5CD9">
      <w:pPr>
        <w:pStyle w:val="CACTitre3"/>
      </w:pPr>
      <w:bookmarkStart w:id="32" w:name="_Toc459896298"/>
      <w:r>
        <w:t>Projets IASB</w:t>
      </w:r>
      <w:bookmarkEnd w:id="32"/>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2"/>
      </w:pPr>
      <w:bookmarkStart w:id="33" w:name="_Toc459896299"/>
      <w:r>
        <w:t>Normes et interprétations liées</w:t>
      </w:r>
      <w:bookmarkEnd w:id="33"/>
    </w:p>
    <w:p w:rsidR="00DC5CD9" w:rsidRDefault="00DC5CD9" w:rsidP="00DC5CD9">
      <w:pPr>
        <w:pStyle w:val="CACCorps"/>
      </w:pPr>
    </w:p>
    <w:p w:rsidR="00DC5CD9" w:rsidRPr="009A6B18" w:rsidRDefault="00DC5CD9" w:rsidP="00DC5CD9">
      <w:pPr>
        <w:pStyle w:val="CACCorps"/>
      </w:pPr>
      <w:r>
        <w:t xml:space="preserve">La norme a remplacé l’interprétation SIC 8 - </w:t>
      </w:r>
      <w:r w:rsidRPr="009A6B18">
        <w:rPr>
          <w:i/>
        </w:rPr>
        <w:t>Première application des IAS en tant que référentiel comptable</w:t>
      </w:r>
    </w:p>
    <w:p w:rsidR="00DC5CD9" w:rsidRDefault="00DC5CD9" w:rsidP="00DC5CD9">
      <w:pPr>
        <w:pStyle w:val="CACCorps"/>
      </w:pPr>
    </w:p>
    <w:p w:rsidR="00DC5CD9" w:rsidRDefault="00DC5CD9" w:rsidP="00DC5CD9">
      <w:pPr>
        <w:pStyle w:val="CACTitre2"/>
      </w:pPr>
      <w:bookmarkStart w:id="34" w:name="_Toc459896300"/>
      <w:r>
        <w:t>Rejets IFRIC liés</w:t>
      </w:r>
      <w:bookmarkEnd w:id="34"/>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2"/>
      </w:pPr>
      <w:bookmarkStart w:id="35" w:name="_Toc459896301"/>
      <w:r>
        <w:t>Recommandations AMF et Décisions ESMA</w:t>
      </w:r>
      <w:bookmarkEnd w:id="35"/>
    </w:p>
    <w:p w:rsidR="00DC5CD9" w:rsidRDefault="00DC5CD9" w:rsidP="00DC5CD9">
      <w:pPr>
        <w:pStyle w:val="CACCorps"/>
      </w:pPr>
    </w:p>
    <w:p w:rsidR="00DC5CD9" w:rsidRDefault="00DC5CD9" w:rsidP="00DC5CD9">
      <w:pPr>
        <w:pStyle w:val="CACTitre3"/>
      </w:pPr>
      <w:bookmarkStart w:id="36" w:name="_Toc459896302"/>
      <w:r>
        <w:t>Recommandations AMF</w:t>
      </w:r>
      <w:bookmarkEnd w:id="36"/>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DC5CD9">
      <w:pPr>
        <w:pStyle w:val="CACTitre3"/>
      </w:pPr>
      <w:bookmarkStart w:id="37" w:name="_Toc459896303"/>
      <w:r>
        <w:t>Décisions ESMA</w:t>
      </w:r>
      <w:bookmarkEnd w:id="37"/>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759"/>
        <w:gridCol w:w="4087"/>
        <w:gridCol w:w="1253"/>
        <w:gridCol w:w="1599"/>
        <w:gridCol w:w="1457"/>
      </w:tblGrid>
      <w:tr w:rsidR="00DC5CD9" w:rsidRPr="00731244"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Référence Texte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DATE D'ENTREE EN VIGUEUR</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CARACTERE APPLICABLE</w:t>
            </w:r>
          </w:p>
        </w:tc>
      </w:tr>
      <w:tr w:rsidR="00DC5CD9" w:rsidRPr="00731244"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Amostissement des immobilisations incorporelles une durée de vie définie inclues dans le goodwill</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EECS/1207-01</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Évaluation des plates-formes offshore à la date de transition</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EECS/1207-05</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01/02/2005</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Consolidation d'une filiale</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EECS/0508-01</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pPr>
        <w:jc w:val="left"/>
      </w:pPr>
      <w:r>
        <w:br w:type="page"/>
      </w:r>
    </w:p>
    <w:p w:rsidR="00DC5CD9" w:rsidRDefault="00DC5CD9" w:rsidP="00DC5CD9">
      <w:pPr>
        <w:pStyle w:val="CACCorps"/>
      </w:pPr>
    </w:p>
    <w:p w:rsidR="00DC5CD9" w:rsidRDefault="00DC5CD9" w:rsidP="00DC5CD9">
      <w:pPr>
        <w:pStyle w:val="CACTitre2"/>
      </w:pPr>
      <w:bookmarkStart w:id="38" w:name="_Toc459896304"/>
      <w:r>
        <w:t>Rappels sur la norme</w:t>
      </w:r>
      <w:bookmarkEnd w:id="38"/>
    </w:p>
    <w:p w:rsidR="00DC5CD9" w:rsidRDefault="00DC5CD9" w:rsidP="00DC5CD9">
      <w:pPr>
        <w:pStyle w:val="CACCorps"/>
      </w:pPr>
    </w:p>
    <w:p w:rsidR="00DC5CD9" w:rsidRDefault="00DC5CD9" w:rsidP="00DC5CD9">
      <w:pPr>
        <w:pStyle w:val="CACCorps"/>
      </w:pPr>
    </w:p>
    <w:p w:rsidR="00DC5CD9" w:rsidRDefault="00DC5CD9" w:rsidP="00DC5CD9">
      <w:pPr>
        <w:pStyle w:val="CACTitre2"/>
      </w:pPr>
      <w:bookmarkStart w:id="39" w:name="_Toc459896305"/>
      <w:r>
        <w:t>Ressources mises à disposition</w:t>
      </w:r>
      <w:bookmarkEnd w:id="39"/>
    </w:p>
    <w:p w:rsidR="00DC5CD9" w:rsidRDefault="00DC5CD9" w:rsidP="00DC5CD9">
      <w:pPr>
        <w:pStyle w:val="CACCorps"/>
      </w:pPr>
    </w:p>
    <w:p w:rsidR="00696A07" w:rsidRDefault="004244E0" w:rsidP="00C21592">
      <w:pPr>
        <w:pStyle w:val="CACCorps"/>
        <w:numPr>
          <w:ilvl w:val="0"/>
          <w:numId w:val="14"/>
        </w:numPr>
      </w:pPr>
      <w:hyperlink r:id="rId11" w:history="1">
        <w:r w:rsidR="00696A07" w:rsidRPr="00696A07">
          <w:rPr>
            <w:rStyle w:val="Lienhypertexte"/>
          </w:rPr>
          <w:t>QFG10.X001</w:t>
        </w:r>
      </w:hyperlink>
      <w:r w:rsidR="00C21592">
        <w:t xml:space="preserve"> – Questionnaire sur la première adoption des IFRS (IFRS 1)</w:t>
      </w:r>
    </w:p>
    <w:p w:rsidR="00C21592" w:rsidRDefault="00C21592" w:rsidP="00DC5CD9">
      <w:pPr>
        <w:pStyle w:val="CACCorps"/>
      </w:pPr>
    </w:p>
    <w:p w:rsidR="00DC5CD9" w:rsidRDefault="00DC5CD9" w:rsidP="00F549E8">
      <w:pPr>
        <w:pStyle w:val="CACTitre1"/>
        <w:numPr>
          <w:ilvl w:val="0"/>
          <w:numId w:val="22"/>
        </w:numPr>
      </w:pPr>
      <w:bookmarkStart w:id="40" w:name="_Toc459896306"/>
      <w:r>
        <w:t>IFRS 13 – Evaluation a la juste valeur</w:t>
      </w:r>
      <w:bookmarkEnd w:id="40"/>
    </w:p>
    <w:p w:rsidR="00DC5CD9" w:rsidRDefault="00DC5CD9" w:rsidP="00DC5CD9">
      <w:pPr>
        <w:pStyle w:val="CACCorps"/>
      </w:pPr>
    </w:p>
    <w:p w:rsidR="00DC5CD9" w:rsidRDefault="00DC5CD9" w:rsidP="005F7220">
      <w:pPr>
        <w:pStyle w:val="CACTitre2"/>
        <w:numPr>
          <w:ilvl w:val="1"/>
          <w:numId w:val="4"/>
        </w:numPr>
      </w:pPr>
      <w:bookmarkStart w:id="41" w:name="_Toc459896307"/>
      <w:r>
        <w:t>Historique</w:t>
      </w:r>
      <w:bookmarkEnd w:id="41"/>
    </w:p>
    <w:p w:rsidR="00DC5CD9" w:rsidRDefault="00DC5CD9" w:rsidP="00DC5CD9">
      <w:pPr>
        <w:pStyle w:val="CACCorps"/>
      </w:pPr>
    </w:p>
    <w:p w:rsidR="00DC5CD9" w:rsidRDefault="00DC5CD9" w:rsidP="005F7220">
      <w:pPr>
        <w:pStyle w:val="CACTitre3"/>
        <w:numPr>
          <w:ilvl w:val="2"/>
          <w:numId w:val="4"/>
        </w:numPr>
      </w:pPr>
      <w:bookmarkStart w:id="42" w:name="_Toc459896308"/>
      <w:r>
        <w:t>Historique au niveau de l’Union européenne</w:t>
      </w:r>
      <w:bookmarkEnd w:id="42"/>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1361"/>
        <w:gridCol w:w="1823"/>
        <w:gridCol w:w="1215"/>
        <w:gridCol w:w="1214"/>
        <w:gridCol w:w="1198"/>
        <w:gridCol w:w="1197"/>
        <w:gridCol w:w="1147"/>
      </w:tblGrid>
      <w:tr w:rsidR="00DC5CD9" w:rsidRPr="001847A8"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CARACTERE APPLICABLE</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Norme</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Evaluation de la juste valeur</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20/12/2010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l'amendemnet d'IAS 19 Informations sur les régimes de prestations définies</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16/06/2012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05/06/2012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Améliorations Annuelles 2010-2012</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 xml:space="preserve">Créances et dettes à court terme </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12/12/2013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17/12/2014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01/02/2015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Améliorations Annuelles 2011-2013</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 xml:space="preserve">Champ d’application du paragraphe 52 (exception relative aux portefeuilles) </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12/12/2013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18/12/2014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DC5CD9">
      <w:pPr>
        <w:pStyle w:val="CACTitre3"/>
      </w:pPr>
      <w:bookmarkStart w:id="43" w:name="_Toc459896309"/>
      <w:r>
        <w:t>Textes en cours d’adoption par la Communauté européenne</w:t>
      </w:r>
      <w:bookmarkEnd w:id="43"/>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DC5CD9">
      <w:pPr>
        <w:pStyle w:val="CACTitre3"/>
      </w:pPr>
      <w:bookmarkStart w:id="44" w:name="_Toc459896310"/>
      <w:r>
        <w:t>Textes en cours d’adoption par l’IASB</w:t>
      </w:r>
      <w:bookmarkEnd w:id="44"/>
    </w:p>
    <w:p w:rsidR="00DC5CD9" w:rsidRDefault="00DC5CD9" w:rsidP="00DC5CD9">
      <w:pPr>
        <w:pStyle w:val="CACCorps"/>
      </w:pPr>
    </w:p>
    <w:p w:rsidR="00DC5CD9" w:rsidRDefault="00DC5CD9" w:rsidP="00DC5CD9">
      <w:pPr>
        <w:pStyle w:val="CACCorps"/>
      </w:pPr>
      <w:r>
        <w:t>Aucun</w:t>
      </w:r>
    </w:p>
    <w:p w:rsidR="00DC5CD9" w:rsidRDefault="00DC5CD9" w:rsidP="00DC5CD9">
      <w:pPr>
        <w:pStyle w:val="CACTitre3"/>
      </w:pPr>
      <w:bookmarkStart w:id="45" w:name="_Toc459896311"/>
      <w:r>
        <w:t>Projets IASB</w:t>
      </w:r>
      <w:bookmarkEnd w:id="45"/>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2"/>
        <w:numPr>
          <w:ilvl w:val="1"/>
          <w:numId w:val="4"/>
        </w:numPr>
      </w:pPr>
      <w:bookmarkStart w:id="46" w:name="_Toc459896312"/>
      <w:r>
        <w:t>Normes et interprétations liées</w:t>
      </w:r>
      <w:bookmarkEnd w:id="46"/>
    </w:p>
    <w:p w:rsidR="00DC5CD9" w:rsidRDefault="00DC5CD9" w:rsidP="00DC5CD9">
      <w:pPr>
        <w:pStyle w:val="CACCorps"/>
      </w:pPr>
    </w:p>
    <w:p w:rsidR="00C21592" w:rsidRDefault="00C21592">
      <w:pPr>
        <w:jc w:val="left"/>
      </w:pPr>
      <w:r>
        <w:br w:type="page"/>
      </w:r>
    </w:p>
    <w:p w:rsidR="00DC5CD9" w:rsidRDefault="00DC5CD9" w:rsidP="00DC5CD9">
      <w:pPr>
        <w:pStyle w:val="CACCorps"/>
      </w:pPr>
    </w:p>
    <w:p w:rsidR="00DC5CD9" w:rsidRDefault="00DC5CD9" w:rsidP="005F7220">
      <w:pPr>
        <w:pStyle w:val="CACTitre2"/>
        <w:numPr>
          <w:ilvl w:val="1"/>
          <w:numId w:val="4"/>
        </w:numPr>
      </w:pPr>
      <w:bookmarkStart w:id="47" w:name="_Toc459896313"/>
      <w:r>
        <w:t>Rejets IFRIC liés</w:t>
      </w:r>
      <w:bookmarkEnd w:id="47"/>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521"/>
        <w:gridCol w:w="7302"/>
        <w:gridCol w:w="1332"/>
      </w:tblGrid>
      <w:tr w:rsidR="00DC5CD9" w:rsidRPr="00731244" w:rsidTr="00DC5CD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Date de décision</w:t>
            </w:r>
          </w:p>
        </w:tc>
      </w:tr>
      <w:tr w:rsidR="00DC5CD9" w:rsidRPr="00731244" w:rsidTr="00DC5C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Rejet</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Clarification sur la prise en compte de prix fournis par des tiers comme niveau 1 de la hiérarchie de juste valeur</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12/05/2015</w:t>
            </w:r>
          </w:p>
        </w:tc>
      </w:tr>
    </w:tbl>
    <w:p w:rsidR="00DC5CD9" w:rsidRDefault="00DC5CD9" w:rsidP="00DC5CD9">
      <w:pPr>
        <w:pStyle w:val="CACCorps"/>
      </w:pPr>
    </w:p>
    <w:p w:rsidR="00DC5CD9" w:rsidRDefault="00DC5CD9" w:rsidP="005F7220">
      <w:pPr>
        <w:pStyle w:val="CACTitre2"/>
        <w:numPr>
          <w:ilvl w:val="1"/>
          <w:numId w:val="4"/>
        </w:numPr>
      </w:pPr>
      <w:bookmarkStart w:id="48" w:name="_Toc459896314"/>
      <w:r>
        <w:t>Recommandations AMF et Décisions ESMA</w:t>
      </w:r>
      <w:bookmarkEnd w:id="48"/>
    </w:p>
    <w:p w:rsidR="00DC5CD9" w:rsidRDefault="00DC5CD9" w:rsidP="00DC5CD9">
      <w:pPr>
        <w:pStyle w:val="CACCorps"/>
      </w:pPr>
    </w:p>
    <w:p w:rsidR="00DC5CD9" w:rsidRDefault="00DC5CD9" w:rsidP="005F7220">
      <w:pPr>
        <w:pStyle w:val="CACTitre3"/>
        <w:numPr>
          <w:ilvl w:val="2"/>
          <w:numId w:val="4"/>
        </w:numPr>
      </w:pPr>
      <w:bookmarkStart w:id="49" w:name="_Toc459896315"/>
      <w:r>
        <w:t>Recommandations AMF</w:t>
      </w:r>
      <w:bookmarkEnd w:id="49"/>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1440"/>
        <w:gridCol w:w="2360"/>
        <w:gridCol w:w="1309"/>
        <w:gridCol w:w="2184"/>
        <w:gridCol w:w="1862"/>
      </w:tblGrid>
      <w:tr w:rsidR="00DC5CD9" w:rsidRPr="00731244"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Référence Texte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DATE D'ENTREE EN VIGUEUR</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CARACTERE APPLICABLE</w:t>
            </w:r>
          </w:p>
        </w:tc>
      </w:tr>
      <w:tr w:rsidR="00DC5CD9" w:rsidRPr="00731244"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Recommandation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 xml:space="preserve">Risque de non-exécution </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2013-19</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Comptes 2013</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Recommandation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 xml:space="preserve">Effet de bloc et unité de compte </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2013-19</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Comptes 2013</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Recommandation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Informations en annexes</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2013-19</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Comptes 2013</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3"/>
        <w:numPr>
          <w:ilvl w:val="2"/>
          <w:numId w:val="4"/>
        </w:numPr>
      </w:pPr>
      <w:bookmarkStart w:id="50" w:name="_Toc459896316"/>
      <w:r>
        <w:t>Décisions ESMA</w:t>
      </w:r>
      <w:bookmarkEnd w:id="50"/>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759"/>
        <w:gridCol w:w="4424"/>
        <w:gridCol w:w="1226"/>
        <w:gridCol w:w="1419"/>
        <w:gridCol w:w="1327"/>
      </w:tblGrid>
      <w:tr w:rsidR="00DC5CD9" w:rsidRPr="00731244"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Référence Texte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DATE D'ENTREE EN VIGUEUR</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CARACTERE APPLICABLE</w:t>
            </w:r>
          </w:p>
        </w:tc>
      </w:tr>
      <w:tr w:rsidR="00DC5CD9" w:rsidRPr="00731244"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Juste valeur de la contrepartie payée en actions</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EECS/0214-02</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01/01/2012</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Caractérisation de la notion de « marché inactif » aux fins de calculer la juste valeur d’instruments financiers</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EECS/0115-03</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Méthode de détermination de la juste valeur des actifs corporels identifiables dans le cadre d’un regroupement d’entreprises dégageant un « badwill »</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EECS/0115-04</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01/01/2012</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r w:rsidR="00DC5CD9" w:rsidRPr="00731244"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Evaluation de la juste valeur de prêts à taux fixe</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EECS/0215-08</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2"/>
        <w:numPr>
          <w:ilvl w:val="1"/>
          <w:numId w:val="4"/>
        </w:numPr>
      </w:pPr>
      <w:bookmarkStart w:id="51" w:name="_Toc459896317"/>
      <w:r>
        <w:t>Rappels sur la norme</w:t>
      </w:r>
      <w:bookmarkEnd w:id="51"/>
    </w:p>
    <w:p w:rsidR="00DC5CD9" w:rsidRDefault="00DC5CD9" w:rsidP="00DC5CD9">
      <w:pPr>
        <w:pStyle w:val="CACCorps"/>
      </w:pPr>
    </w:p>
    <w:p w:rsidR="00DC5CD9" w:rsidRDefault="00DC5CD9" w:rsidP="00DC5CD9">
      <w:pPr>
        <w:pStyle w:val="CACCorps"/>
      </w:pPr>
    </w:p>
    <w:p w:rsidR="00DC5CD9" w:rsidRDefault="00DC5CD9" w:rsidP="005F7220">
      <w:pPr>
        <w:pStyle w:val="CACTitre2"/>
        <w:numPr>
          <w:ilvl w:val="1"/>
          <w:numId w:val="4"/>
        </w:numPr>
      </w:pPr>
      <w:bookmarkStart w:id="52" w:name="_Toc459896318"/>
      <w:r>
        <w:t>Ressources mises à disposition</w:t>
      </w:r>
      <w:bookmarkEnd w:id="52"/>
    </w:p>
    <w:p w:rsidR="00DC5CD9" w:rsidRDefault="00DC5CD9" w:rsidP="00DC5CD9">
      <w:pPr>
        <w:pStyle w:val="CACCorps"/>
      </w:pPr>
    </w:p>
    <w:p w:rsidR="00C21592" w:rsidRDefault="00C21592" w:rsidP="00DC5CD9">
      <w:pPr>
        <w:pStyle w:val="CACCorps"/>
      </w:pPr>
    </w:p>
    <w:p w:rsidR="00C21592" w:rsidRDefault="00C21592">
      <w:pPr>
        <w:jc w:val="left"/>
      </w:pPr>
      <w:r>
        <w:br w:type="page"/>
      </w:r>
    </w:p>
    <w:p w:rsidR="00C21592" w:rsidRDefault="00C21592" w:rsidP="00DC5CD9">
      <w:pPr>
        <w:pStyle w:val="CACCorps"/>
      </w:pPr>
    </w:p>
    <w:p w:rsidR="00DC5CD9" w:rsidRDefault="00DC5CD9" w:rsidP="00F549E8">
      <w:pPr>
        <w:pStyle w:val="CACTitre1"/>
        <w:numPr>
          <w:ilvl w:val="0"/>
          <w:numId w:val="23"/>
        </w:numPr>
      </w:pPr>
      <w:bookmarkStart w:id="53" w:name="_Toc459896319"/>
      <w:r>
        <w:t>IAS 8 – Méthodes comptables, changements comptables et erreurs</w:t>
      </w:r>
      <w:bookmarkEnd w:id="53"/>
    </w:p>
    <w:p w:rsidR="00DC5CD9" w:rsidRDefault="00DC5CD9" w:rsidP="00DC5CD9">
      <w:pPr>
        <w:pStyle w:val="CACCorps"/>
      </w:pPr>
    </w:p>
    <w:p w:rsidR="00DC5CD9" w:rsidRDefault="00DC5CD9" w:rsidP="005F7220">
      <w:pPr>
        <w:pStyle w:val="CACTitre2"/>
        <w:numPr>
          <w:ilvl w:val="1"/>
          <w:numId w:val="5"/>
        </w:numPr>
      </w:pPr>
      <w:bookmarkStart w:id="54" w:name="_Toc459896320"/>
      <w:r>
        <w:t>Historique</w:t>
      </w:r>
      <w:bookmarkEnd w:id="54"/>
    </w:p>
    <w:p w:rsidR="00DC5CD9" w:rsidRDefault="00DC5CD9" w:rsidP="00DC5CD9">
      <w:pPr>
        <w:pStyle w:val="CACCorps"/>
      </w:pPr>
    </w:p>
    <w:p w:rsidR="00DC5CD9" w:rsidRDefault="00DC5CD9" w:rsidP="005F7220">
      <w:pPr>
        <w:pStyle w:val="CACTitre3"/>
        <w:numPr>
          <w:ilvl w:val="2"/>
          <w:numId w:val="5"/>
        </w:numPr>
      </w:pPr>
      <w:bookmarkStart w:id="55" w:name="_Toc459896321"/>
      <w:r>
        <w:t>Historique au niveau de l’Union européenne</w:t>
      </w:r>
      <w:bookmarkEnd w:id="55"/>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1361"/>
        <w:gridCol w:w="1939"/>
        <w:gridCol w:w="1198"/>
        <w:gridCol w:w="1180"/>
        <w:gridCol w:w="1183"/>
        <w:gridCol w:w="1166"/>
        <w:gridCol w:w="1128"/>
      </w:tblGrid>
      <w:tr w:rsidR="00DC5CD9" w:rsidRPr="001847A8" w:rsidTr="00DC5CD9">
        <w:trPr>
          <w:cantSplit/>
          <w:trHeight w:val="600"/>
          <w:tblHeader/>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CARACTERE APPLICABLE</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Norme</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Résultat net de l'exercice, erreurs fondamentales e changements de méthodes comptables</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01/12/1993</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01/01/1995</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29/09/2003</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16/10/2003</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NON Caduc</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Révision Norme</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 xml:space="preserve"> Principes comptables, changements d'estimations comptables et erreurs</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18/12/2003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29/12/2004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 révision d'IAS 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06/09/2007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17/12/2008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Améliorations Annuelles 2006-2008</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Modifications terminologiques. Statut des guides d'application</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22/05/2008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23/01/2009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l'adoption d'IFRS 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20/12/2010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3"/>
        <w:numPr>
          <w:ilvl w:val="2"/>
          <w:numId w:val="5"/>
        </w:numPr>
      </w:pPr>
      <w:bookmarkStart w:id="56" w:name="_Toc459896322"/>
      <w:r>
        <w:t>Textes en cours d’adoption par la Communauté européenne</w:t>
      </w:r>
      <w:bookmarkEnd w:id="56"/>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5"/>
        </w:numPr>
      </w:pPr>
      <w:bookmarkStart w:id="57" w:name="_Toc459896323"/>
      <w:r>
        <w:t>Textes en cours d’adoption par l’IASB</w:t>
      </w:r>
      <w:bookmarkEnd w:id="57"/>
    </w:p>
    <w:p w:rsidR="00DC5CD9" w:rsidRDefault="00DC5CD9" w:rsidP="00DC5CD9">
      <w:pPr>
        <w:pStyle w:val="CACCorps"/>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0"/>
        <w:gridCol w:w="2106"/>
        <w:gridCol w:w="1580"/>
        <w:gridCol w:w="876"/>
        <w:gridCol w:w="1786"/>
        <w:gridCol w:w="1227"/>
      </w:tblGrid>
      <w:tr w:rsidR="00DC5CD9" w:rsidRPr="00731244" w:rsidTr="00DC5CD9">
        <w:trPr>
          <w:trHeight w:val="600"/>
        </w:trPr>
        <w:tc>
          <w:tcPr>
            <w:tcW w:w="0" w:type="auto"/>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TYPE</w:t>
            </w:r>
          </w:p>
        </w:tc>
        <w:tc>
          <w:tcPr>
            <w:tcW w:w="0" w:type="auto"/>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TITRE</w:t>
            </w:r>
          </w:p>
        </w:tc>
        <w:tc>
          <w:tcPr>
            <w:tcW w:w="0" w:type="auto"/>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Activité actuelle</w:t>
            </w:r>
          </w:p>
        </w:tc>
        <w:tc>
          <w:tcPr>
            <w:tcW w:w="0" w:type="auto"/>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Dans les 3 mois</w:t>
            </w:r>
          </w:p>
        </w:tc>
        <w:tc>
          <w:tcPr>
            <w:tcW w:w="0" w:type="auto"/>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Dans les 6 mois</w:t>
            </w:r>
          </w:p>
        </w:tc>
        <w:tc>
          <w:tcPr>
            <w:tcW w:w="0" w:type="auto"/>
            <w:shd w:val="clear" w:color="000000" w:fill="7030A0"/>
            <w:vAlign w:val="center"/>
            <w:hideMark/>
          </w:tcPr>
          <w:p w:rsidR="00DC5CD9" w:rsidRPr="00731244" w:rsidRDefault="00DC5CD9" w:rsidP="00DC5CD9">
            <w:pPr>
              <w:jc w:val="center"/>
              <w:rPr>
                <w:rFonts w:eastAsia="Times New Roman" w:cs="Times New Roman"/>
                <w:b/>
                <w:bCs/>
                <w:color w:val="FFFFFF"/>
                <w:sz w:val="18"/>
                <w:szCs w:val="18"/>
                <w:lang w:eastAsia="fr-FR"/>
              </w:rPr>
            </w:pPr>
            <w:r w:rsidRPr="00731244">
              <w:rPr>
                <w:rFonts w:eastAsia="Times New Roman" w:cs="Times New Roman"/>
                <w:b/>
                <w:bCs/>
                <w:color w:val="FFFFFF"/>
                <w:sz w:val="18"/>
                <w:szCs w:val="18"/>
                <w:lang w:eastAsia="fr-FR"/>
              </w:rPr>
              <w:t>Postérieur à 6 mois</w:t>
            </w:r>
          </w:p>
        </w:tc>
      </w:tr>
      <w:tr w:rsidR="00DC5CD9" w:rsidRPr="00731244" w:rsidTr="00DC5CD9">
        <w:trPr>
          <w:trHeight w:val="900"/>
        </w:trPr>
        <w:tc>
          <w:tcPr>
            <w:tcW w:w="0" w:type="auto"/>
            <w:shd w:val="clear" w:color="auto" w:fill="auto"/>
            <w:vAlign w:val="center"/>
            <w:hideMark/>
          </w:tcPr>
          <w:p w:rsidR="00DC5CD9" w:rsidRPr="00731244" w:rsidRDefault="00DC5CD9" w:rsidP="00DC5CD9">
            <w:pPr>
              <w:jc w:val="left"/>
              <w:rPr>
                <w:rFonts w:eastAsia="Times New Roman" w:cs="Times New Roman"/>
                <w:color w:val="000000"/>
                <w:sz w:val="18"/>
                <w:szCs w:val="18"/>
                <w:lang w:eastAsia="fr-FR"/>
              </w:rPr>
            </w:pPr>
            <w:r w:rsidRPr="00731244">
              <w:rPr>
                <w:rFonts w:eastAsia="Times New Roman" w:cs="Times New Roman"/>
                <w:color w:val="000000"/>
                <w:sz w:val="18"/>
                <w:szCs w:val="18"/>
                <w:lang w:eastAsia="fr-FR"/>
              </w:rPr>
              <w:t>Projet de Papier de Discussion</w:t>
            </w:r>
          </w:p>
        </w:tc>
        <w:tc>
          <w:tcPr>
            <w:tcW w:w="0" w:type="auto"/>
            <w:shd w:val="clear" w:color="auto" w:fill="auto"/>
            <w:vAlign w:val="center"/>
            <w:hideMark/>
          </w:tcPr>
          <w:p w:rsidR="00DC5CD9" w:rsidRPr="00731244" w:rsidRDefault="00DC5CD9" w:rsidP="00DC5CD9">
            <w:pPr>
              <w:jc w:val="left"/>
              <w:rPr>
                <w:rFonts w:eastAsia="Times New Roman" w:cs="Times New Roman"/>
                <w:color w:val="000000"/>
                <w:sz w:val="18"/>
                <w:szCs w:val="18"/>
                <w:lang w:val="en-US" w:eastAsia="fr-FR"/>
              </w:rPr>
            </w:pPr>
            <w:r w:rsidRPr="00731244">
              <w:rPr>
                <w:rFonts w:eastAsia="Times New Roman" w:cs="Times New Roman"/>
                <w:color w:val="000000"/>
                <w:sz w:val="18"/>
                <w:szCs w:val="18"/>
                <w:lang w:val="en-US" w:eastAsia="fr-FR"/>
              </w:rPr>
              <w:t>Disclosure Initiative—Principles of Disclosure</w:t>
            </w:r>
          </w:p>
        </w:tc>
        <w:tc>
          <w:tcPr>
            <w:tcW w:w="0" w:type="auto"/>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Projet de Papier de Discussion</w:t>
            </w:r>
          </w:p>
        </w:tc>
        <w:tc>
          <w:tcPr>
            <w:tcW w:w="0" w:type="auto"/>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 </w:t>
            </w:r>
          </w:p>
        </w:tc>
        <w:tc>
          <w:tcPr>
            <w:tcW w:w="0" w:type="auto"/>
            <w:shd w:val="clear" w:color="auto" w:fill="auto"/>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Publication du Papier de Discussion</w:t>
            </w:r>
          </w:p>
        </w:tc>
        <w:tc>
          <w:tcPr>
            <w:tcW w:w="0" w:type="auto"/>
            <w:shd w:val="clear" w:color="auto" w:fill="auto"/>
            <w:noWrap/>
            <w:vAlign w:val="center"/>
            <w:hideMark/>
          </w:tcPr>
          <w:p w:rsidR="00DC5CD9" w:rsidRPr="00731244" w:rsidRDefault="00DC5CD9" w:rsidP="00DC5CD9">
            <w:pPr>
              <w:jc w:val="center"/>
              <w:rPr>
                <w:rFonts w:eastAsia="Times New Roman" w:cs="Times New Roman"/>
                <w:color w:val="000000"/>
                <w:sz w:val="18"/>
                <w:szCs w:val="18"/>
                <w:lang w:eastAsia="fr-FR"/>
              </w:rPr>
            </w:pPr>
            <w:r w:rsidRPr="00731244">
              <w:rPr>
                <w:rFonts w:eastAsia="Times New Roman" w:cs="Times New Roman"/>
                <w:color w:val="000000"/>
                <w:sz w:val="18"/>
                <w:szCs w:val="18"/>
                <w:lang w:eastAsia="fr-FR"/>
              </w:rPr>
              <w:t> </w:t>
            </w:r>
          </w:p>
        </w:tc>
      </w:tr>
    </w:tbl>
    <w:p w:rsidR="00DC5CD9" w:rsidRDefault="00DC5CD9" w:rsidP="00DC5CD9">
      <w:pPr>
        <w:pStyle w:val="CACCorps"/>
      </w:pPr>
    </w:p>
    <w:p w:rsidR="00DC5CD9" w:rsidRDefault="00DC5CD9" w:rsidP="005F7220">
      <w:pPr>
        <w:pStyle w:val="CACTitre3"/>
        <w:numPr>
          <w:ilvl w:val="2"/>
          <w:numId w:val="5"/>
        </w:numPr>
      </w:pPr>
      <w:bookmarkStart w:id="58" w:name="_Toc459896324"/>
      <w:r>
        <w:t>Projets IASB</w:t>
      </w:r>
      <w:bookmarkEnd w:id="58"/>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2"/>
        <w:numPr>
          <w:ilvl w:val="1"/>
          <w:numId w:val="5"/>
        </w:numPr>
      </w:pPr>
      <w:bookmarkStart w:id="59" w:name="_Toc459896325"/>
      <w:r>
        <w:t>Normes et interprétations liées</w:t>
      </w:r>
      <w:bookmarkEnd w:id="59"/>
    </w:p>
    <w:p w:rsidR="00DC5CD9" w:rsidRDefault="00DC5CD9" w:rsidP="00DC5CD9">
      <w:pPr>
        <w:pStyle w:val="CACCorps"/>
      </w:pPr>
    </w:p>
    <w:p w:rsidR="00DC5CD9" w:rsidRPr="00731244" w:rsidRDefault="00DC5CD9" w:rsidP="00DC5CD9">
      <w:pPr>
        <w:pStyle w:val="CACCorps"/>
        <w:rPr>
          <w:i/>
        </w:rPr>
      </w:pPr>
      <w:r>
        <w:t xml:space="preserve">IAS 8 a remplacé les interpréations SIC 2 </w:t>
      </w:r>
      <w:r w:rsidRPr="00731244">
        <w:rPr>
          <w:i/>
        </w:rPr>
        <w:t>Cohérence des méthodes - Incorporation des coûts d'emprunts dans le coût des actifs</w:t>
      </w:r>
      <w:r>
        <w:t xml:space="preserve"> et SIC 18 - </w:t>
      </w:r>
      <w:r w:rsidRPr="00731244">
        <w:rPr>
          <w:i/>
        </w:rPr>
        <w:t>Cohérence et permanence des méthodes - Méthodes alternatives</w:t>
      </w:r>
    </w:p>
    <w:p w:rsidR="00DC5CD9" w:rsidRDefault="00DC5CD9" w:rsidP="00DC5CD9">
      <w:pPr>
        <w:pStyle w:val="CACCorps"/>
      </w:pPr>
    </w:p>
    <w:p w:rsidR="00DC5CD9" w:rsidRDefault="00DC5CD9" w:rsidP="005F7220">
      <w:pPr>
        <w:pStyle w:val="CACTitre2"/>
        <w:numPr>
          <w:ilvl w:val="1"/>
          <w:numId w:val="5"/>
        </w:numPr>
      </w:pPr>
      <w:bookmarkStart w:id="60" w:name="_Toc459896326"/>
      <w:r>
        <w:lastRenderedPageBreak/>
        <w:t>Rejets IFRIC liés</w:t>
      </w:r>
      <w:bookmarkEnd w:id="60"/>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2"/>
        <w:numPr>
          <w:ilvl w:val="1"/>
          <w:numId w:val="5"/>
        </w:numPr>
      </w:pPr>
      <w:bookmarkStart w:id="61" w:name="_Toc459896327"/>
      <w:r>
        <w:t>Recommandations AMF et Décisions ESMA</w:t>
      </w:r>
      <w:bookmarkEnd w:id="61"/>
    </w:p>
    <w:p w:rsidR="00DC5CD9" w:rsidRDefault="00DC5CD9" w:rsidP="00DC5CD9">
      <w:pPr>
        <w:pStyle w:val="CACCorps"/>
      </w:pPr>
    </w:p>
    <w:p w:rsidR="00DC5CD9" w:rsidRDefault="00DC5CD9" w:rsidP="005F7220">
      <w:pPr>
        <w:pStyle w:val="CACTitre3"/>
        <w:numPr>
          <w:ilvl w:val="2"/>
          <w:numId w:val="5"/>
        </w:numPr>
      </w:pPr>
      <w:bookmarkStart w:id="62" w:name="_Toc459896328"/>
      <w:r>
        <w:t>Recommandations AMF</w:t>
      </w:r>
      <w:bookmarkEnd w:id="62"/>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3"/>
        <w:numPr>
          <w:ilvl w:val="2"/>
          <w:numId w:val="5"/>
        </w:numPr>
      </w:pPr>
      <w:bookmarkStart w:id="63" w:name="_Toc459896329"/>
      <w:r>
        <w:t>Décisions ESMA</w:t>
      </w:r>
      <w:bookmarkEnd w:id="63"/>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759"/>
        <w:gridCol w:w="4127"/>
        <w:gridCol w:w="1250"/>
        <w:gridCol w:w="1578"/>
        <w:gridCol w:w="1441"/>
      </w:tblGrid>
      <w:tr w:rsidR="00DC5CD9" w:rsidRPr="00C2318D"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C2318D" w:rsidRDefault="00DC5CD9" w:rsidP="00DC5CD9">
            <w:pPr>
              <w:jc w:val="center"/>
              <w:rPr>
                <w:rFonts w:asciiTheme="minorHAnsi" w:eastAsia="Times New Roman" w:hAnsiTheme="minorHAnsi" w:cs="Times New Roman"/>
                <w:b/>
                <w:bCs/>
                <w:color w:val="FFFFFF"/>
                <w:sz w:val="18"/>
                <w:szCs w:val="18"/>
                <w:lang w:eastAsia="fr-FR"/>
              </w:rPr>
            </w:pPr>
            <w:r w:rsidRPr="00C2318D">
              <w:rPr>
                <w:rFonts w:asciiTheme="minorHAnsi" w:eastAsia="Times New Roman" w:hAnsiTheme="minorHAnsi"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C2318D" w:rsidRDefault="00DC5CD9" w:rsidP="00DC5CD9">
            <w:pPr>
              <w:jc w:val="center"/>
              <w:rPr>
                <w:rFonts w:asciiTheme="minorHAnsi" w:eastAsia="Times New Roman" w:hAnsiTheme="minorHAnsi" w:cs="Times New Roman"/>
                <w:b/>
                <w:bCs/>
                <w:color w:val="FFFFFF"/>
                <w:sz w:val="18"/>
                <w:szCs w:val="18"/>
                <w:lang w:eastAsia="fr-FR"/>
              </w:rPr>
            </w:pPr>
            <w:r w:rsidRPr="00C2318D">
              <w:rPr>
                <w:rFonts w:asciiTheme="minorHAnsi" w:eastAsia="Times New Roman" w:hAnsiTheme="minorHAnsi"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C2318D" w:rsidRDefault="00DC5CD9" w:rsidP="00DC5CD9">
            <w:pPr>
              <w:jc w:val="center"/>
              <w:rPr>
                <w:rFonts w:asciiTheme="minorHAnsi" w:eastAsia="Times New Roman" w:hAnsiTheme="minorHAnsi" w:cs="Times New Roman"/>
                <w:b/>
                <w:bCs/>
                <w:color w:val="FFFFFF"/>
                <w:sz w:val="18"/>
                <w:szCs w:val="18"/>
                <w:lang w:eastAsia="fr-FR"/>
              </w:rPr>
            </w:pPr>
            <w:r w:rsidRPr="00C2318D">
              <w:rPr>
                <w:rFonts w:asciiTheme="minorHAnsi" w:eastAsia="Times New Roman" w:hAnsiTheme="minorHAnsi" w:cs="Times New Roman"/>
                <w:b/>
                <w:bCs/>
                <w:color w:val="FFFFFF"/>
                <w:sz w:val="18"/>
                <w:szCs w:val="18"/>
                <w:lang w:eastAsia="fr-FR"/>
              </w:rPr>
              <w:t>Référence Texte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C2318D" w:rsidRDefault="00DC5CD9" w:rsidP="00DC5CD9">
            <w:pPr>
              <w:jc w:val="center"/>
              <w:rPr>
                <w:rFonts w:asciiTheme="minorHAnsi" w:eastAsia="Times New Roman" w:hAnsiTheme="minorHAnsi" w:cs="Times New Roman"/>
                <w:b/>
                <w:bCs/>
                <w:color w:val="FFFFFF"/>
                <w:sz w:val="18"/>
                <w:szCs w:val="18"/>
                <w:lang w:eastAsia="fr-FR"/>
              </w:rPr>
            </w:pPr>
            <w:r w:rsidRPr="00C2318D">
              <w:rPr>
                <w:rFonts w:asciiTheme="minorHAnsi" w:eastAsia="Times New Roman" w:hAnsiTheme="minorHAnsi" w:cs="Times New Roman"/>
                <w:b/>
                <w:bCs/>
                <w:color w:val="FFFFFF"/>
                <w:sz w:val="18"/>
                <w:szCs w:val="18"/>
                <w:lang w:eastAsia="fr-FR"/>
              </w:rPr>
              <w:t>DATE D'ENTREE EN VIGUEUR</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C2318D" w:rsidRDefault="00DC5CD9" w:rsidP="00DC5CD9">
            <w:pPr>
              <w:jc w:val="center"/>
              <w:rPr>
                <w:rFonts w:asciiTheme="minorHAnsi" w:eastAsia="Times New Roman" w:hAnsiTheme="minorHAnsi" w:cs="Times New Roman"/>
                <w:b/>
                <w:bCs/>
                <w:color w:val="FFFFFF"/>
                <w:sz w:val="18"/>
                <w:szCs w:val="18"/>
                <w:lang w:eastAsia="fr-FR"/>
              </w:rPr>
            </w:pPr>
            <w:r w:rsidRPr="00C2318D">
              <w:rPr>
                <w:rFonts w:asciiTheme="minorHAnsi" w:eastAsia="Times New Roman" w:hAnsiTheme="minorHAnsi" w:cs="Times New Roman"/>
                <w:b/>
                <w:bCs/>
                <w:color w:val="FFFFFF"/>
                <w:sz w:val="18"/>
                <w:szCs w:val="18"/>
                <w:lang w:eastAsia="fr-FR"/>
              </w:rPr>
              <w:t>CARACTERE APPLICABLE</w:t>
            </w:r>
          </w:p>
        </w:tc>
      </w:tr>
      <w:tr w:rsidR="00DC5CD9" w:rsidRPr="00C2318D"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Consolidation d'une filiale</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EECS/0508-01</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Présentation de l'information comparative dans les états financiers intermédiaires</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EECS/1208-15</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01/01/2007</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Capital et contrôle</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EECS/0209-03</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01/01/2007</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Correction d'une erreur</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EECS/1209-09</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01/01/2007</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Regroupement d'entreprises sous contrôle commun</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EECS/1209-14</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01/01/2008</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Traitement comptable des ajustements d'impôts sur les bénéfices</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EECS/0111-06</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01/01/2008</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Evaluation du caractère significatif d'une erreur</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EECS/0113-05</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01/01/2010</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Informations à fournir relatives à de nouvelles normes qui ont été adoptées mais non encore en vigueur</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EECS/0213-12</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01/01/2011</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r w:rsidR="00DC5CD9" w:rsidRPr="00C2318D"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Changement de présentation de la quote-part de résultat des entités mises en équivalence</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EECS/0114-06</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01/01/2011</w:t>
            </w:r>
          </w:p>
        </w:tc>
        <w:tc>
          <w:tcPr>
            <w:tcW w:w="0" w:type="auto"/>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center"/>
              <w:rPr>
                <w:rFonts w:asciiTheme="minorHAnsi" w:eastAsia="Times New Roman" w:hAnsiTheme="minorHAnsi" w:cs="Times New Roman"/>
                <w:color w:val="000000"/>
                <w:sz w:val="18"/>
                <w:szCs w:val="18"/>
                <w:lang w:eastAsia="fr-FR"/>
              </w:rPr>
            </w:pPr>
            <w:r w:rsidRPr="00C2318D">
              <w:rPr>
                <w:rFonts w:asciiTheme="minorHAnsi" w:eastAsia="Times New Roman" w:hAnsiTheme="minorHAnsi"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2"/>
        <w:numPr>
          <w:ilvl w:val="1"/>
          <w:numId w:val="5"/>
        </w:numPr>
      </w:pPr>
      <w:bookmarkStart w:id="64" w:name="_Toc459896330"/>
      <w:r>
        <w:t>Rappels sur la norme</w:t>
      </w:r>
      <w:bookmarkEnd w:id="64"/>
    </w:p>
    <w:p w:rsidR="00DC5CD9" w:rsidRDefault="00DC5CD9" w:rsidP="00DC5CD9">
      <w:pPr>
        <w:pStyle w:val="CACCorps"/>
      </w:pPr>
    </w:p>
    <w:p w:rsidR="002F5042" w:rsidRDefault="002F5042" w:rsidP="00DC5CD9">
      <w:pPr>
        <w:pStyle w:val="CACCorps"/>
      </w:pPr>
    </w:p>
    <w:p w:rsidR="00DC5CD9" w:rsidRDefault="00DC5CD9" w:rsidP="005F7220">
      <w:pPr>
        <w:pStyle w:val="CACTitre2"/>
        <w:numPr>
          <w:ilvl w:val="1"/>
          <w:numId w:val="5"/>
        </w:numPr>
      </w:pPr>
      <w:bookmarkStart w:id="65" w:name="_Toc459896331"/>
      <w:r>
        <w:t>Ressources mises à disposition</w:t>
      </w:r>
      <w:bookmarkEnd w:id="65"/>
    </w:p>
    <w:p w:rsidR="00DC5CD9" w:rsidRDefault="00DC5CD9" w:rsidP="00DC5CD9">
      <w:pPr>
        <w:pStyle w:val="CACCorps"/>
      </w:pPr>
    </w:p>
    <w:p w:rsidR="00DC5CD9" w:rsidRDefault="00DC5CD9" w:rsidP="00DC5CD9">
      <w:pPr>
        <w:pStyle w:val="CACCorps"/>
      </w:pPr>
    </w:p>
    <w:p w:rsidR="00DC5CD9" w:rsidRDefault="00DC5CD9" w:rsidP="00F549E8">
      <w:pPr>
        <w:pStyle w:val="CACTitre1"/>
        <w:numPr>
          <w:ilvl w:val="0"/>
          <w:numId w:val="24"/>
        </w:numPr>
      </w:pPr>
      <w:bookmarkStart w:id="66" w:name="_Toc459896332"/>
      <w:r>
        <w:t>IAS 10 -  évènements postérieurs à la clôture</w:t>
      </w:r>
      <w:bookmarkEnd w:id="66"/>
    </w:p>
    <w:p w:rsidR="00DC5CD9" w:rsidRDefault="00DC5CD9" w:rsidP="00DC5CD9">
      <w:pPr>
        <w:pStyle w:val="CACCorps"/>
      </w:pPr>
    </w:p>
    <w:p w:rsidR="00DC5CD9" w:rsidRDefault="00DC5CD9" w:rsidP="005F7220">
      <w:pPr>
        <w:pStyle w:val="CACTitre2"/>
        <w:numPr>
          <w:ilvl w:val="1"/>
          <w:numId w:val="6"/>
        </w:numPr>
      </w:pPr>
      <w:bookmarkStart w:id="67" w:name="_Toc459896333"/>
      <w:r>
        <w:t>Historique</w:t>
      </w:r>
      <w:bookmarkEnd w:id="67"/>
    </w:p>
    <w:p w:rsidR="00DC5CD9" w:rsidRDefault="00DC5CD9" w:rsidP="00DC5CD9">
      <w:pPr>
        <w:pStyle w:val="CACCorps"/>
      </w:pPr>
    </w:p>
    <w:p w:rsidR="00DC5CD9" w:rsidRDefault="00DC5CD9" w:rsidP="005F7220">
      <w:pPr>
        <w:pStyle w:val="CACTitre3"/>
        <w:numPr>
          <w:ilvl w:val="2"/>
          <w:numId w:val="6"/>
        </w:numPr>
      </w:pPr>
      <w:bookmarkStart w:id="68" w:name="_Toc459896334"/>
      <w:r>
        <w:t>Historique au niveau de l’Union européenne</w:t>
      </w:r>
      <w:bookmarkEnd w:id="68"/>
    </w:p>
    <w:p w:rsidR="00DC5CD9" w:rsidRDefault="00DC5CD9" w:rsidP="00DC5CD9">
      <w:pPr>
        <w:pStyle w:val="CACCorps"/>
      </w:pPr>
    </w:p>
    <w:tbl>
      <w:tblPr>
        <w:tblW w:w="0" w:type="auto"/>
        <w:tblInd w:w="55" w:type="dxa"/>
        <w:tblCellMar>
          <w:left w:w="70" w:type="dxa"/>
          <w:right w:w="70" w:type="dxa"/>
        </w:tblCellMar>
        <w:tblLook w:val="04A0" w:firstRow="1" w:lastRow="0" w:firstColumn="1" w:lastColumn="0" w:noHBand="0" w:noVBand="1"/>
      </w:tblPr>
      <w:tblGrid>
        <w:gridCol w:w="1342"/>
        <w:gridCol w:w="2019"/>
        <w:gridCol w:w="1189"/>
        <w:gridCol w:w="1162"/>
        <w:gridCol w:w="1176"/>
        <w:gridCol w:w="1149"/>
        <w:gridCol w:w="1118"/>
      </w:tblGrid>
      <w:tr w:rsidR="00DC5CD9" w:rsidRPr="001847A8" w:rsidTr="00C21592">
        <w:trPr>
          <w:cantSplit/>
          <w:trHeight w:val="600"/>
          <w:tblHeader/>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CARACTERE APPLICABLE</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Norme</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Evénements postérieurs à la date de clôture</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01/03/1999</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01/01/2000</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29/09/2003</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16/10/2003</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NON Caduc</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l'adoption d'IFRS 5</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31/03/2004</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19/09/2004</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NON Caduc</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lastRenderedPageBreak/>
              <w:t>Révision Norme</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Événements survenant après la date de clôture</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18/12/2003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29/12/2004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9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 révision d'IAS 1, modification du titre de la norme "Evénements postérieurs à la période de reporting"</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06/09/2007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17/12/2008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Améliorations Annuelles 2006-2008</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Modifications terminologiques. Dividendes votés après la clôture de la période de reporting</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22/05/2008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23/01/2009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l'adoption d'IFRS 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20/12/2010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3"/>
        <w:numPr>
          <w:ilvl w:val="2"/>
          <w:numId w:val="6"/>
        </w:numPr>
      </w:pPr>
      <w:bookmarkStart w:id="69" w:name="_Toc459896335"/>
      <w:r>
        <w:t>Textes en cours d’adoption par la Communauté européenne</w:t>
      </w:r>
      <w:bookmarkEnd w:id="69"/>
    </w:p>
    <w:p w:rsidR="00DC5CD9" w:rsidRDefault="00DC5CD9" w:rsidP="002F5042">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6"/>
        </w:numPr>
      </w:pPr>
      <w:bookmarkStart w:id="70" w:name="_Toc459896336"/>
      <w:r>
        <w:t>Textes en cours d’adoption par l’IASB</w:t>
      </w:r>
      <w:bookmarkEnd w:id="70"/>
    </w:p>
    <w:p w:rsidR="00DC5CD9" w:rsidRDefault="00DC5CD9" w:rsidP="002F5042">
      <w:pPr>
        <w:pStyle w:val="CACCorps"/>
      </w:pPr>
    </w:p>
    <w:p w:rsidR="00DC5CD9" w:rsidRDefault="00DC5CD9" w:rsidP="00DC5CD9">
      <w:pPr>
        <w:pStyle w:val="CACCorps"/>
      </w:pPr>
      <w:r>
        <w:t>Aucun</w:t>
      </w:r>
    </w:p>
    <w:p w:rsidR="00DC5CD9" w:rsidRDefault="00DC5CD9" w:rsidP="005F7220">
      <w:pPr>
        <w:pStyle w:val="CACTitre3"/>
        <w:numPr>
          <w:ilvl w:val="2"/>
          <w:numId w:val="6"/>
        </w:numPr>
      </w:pPr>
      <w:bookmarkStart w:id="71" w:name="_Toc459896337"/>
      <w:r>
        <w:t>Projets IASB</w:t>
      </w:r>
      <w:bookmarkEnd w:id="71"/>
    </w:p>
    <w:p w:rsidR="00DC5CD9" w:rsidRDefault="00DC5CD9" w:rsidP="002F5042">
      <w:pPr>
        <w:pStyle w:val="CACCorps"/>
      </w:pPr>
    </w:p>
    <w:p w:rsidR="00DC5CD9" w:rsidRDefault="00DC5CD9" w:rsidP="00DC5CD9">
      <w:pPr>
        <w:pStyle w:val="CACCorps"/>
      </w:pPr>
      <w:r>
        <w:t>Aucun</w:t>
      </w:r>
    </w:p>
    <w:p w:rsidR="00DC5CD9" w:rsidRDefault="00DC5CD9" w:rsidP="002F5042">
      <w:pPr>
        <w:pStyle w:val="CACCorps"/>
      </w:pPr>
    </w:p>
    <w:p w:rsidR="00DC5CD9" w:rsidRDefault="00DC5CD9" w:rsidP="005F7220">
      <w:pPr>
        <w:pStyle w:val="CACTitre2"/>
        <w:numPr>
          <w:ilvl w:val="1"/>
          <w:numId w:val="6"/>
        </w:numPr>
      </w:pPr>
      <w:bookmarkStart w:id="72" w:name="_Toc459896338"/>
      <w:r>
        <w:t>Normes et interprétations liées</w:t>
      </w:r>
      <w:bookmarkEnd w:id="72"/>
    </w:p>
    <w:p w:rsidR="00DC5CD9" w:rsidRDefault="00DC5CD9" w:rsidP="002F5042">
      <w:pPr>
        <w:pStyle w:val="CACCorps"/>
      </w:pPr>
    </w:p>
    <w:p w:rsidR="00DC5CD9" w:rsidRDefault="00DC5CD9" w:rsidP="00DC5CD9">
      <w:pPr>
        <w:pStyle w:val="CACCorps"/>
      </w:pPr>
      <w:r>
        <w:t>Aucune spécifiquement</w:t>
      </w:r>
    </w:p>
    <w:p w:rsidR="00DC5CD9" w:rsidRDefault="00DC5CD9" w:rsidP="002F5042">
      <w:pPr>
        <w:pStyle w:val="CACCorps"/>
      </w:pPr>
    </w:p>
    <w:p w:rsidR="00DC5CD9" w:rsidRDefault="00DC5CD9" w:rsidP="005F7220">
      <w:pPr>
        <w:pStyle w:val="CACTitre2"/>
        <w:numPr>
          <w:ilvl w:val="1"/>
          <w:numId w:val="6"/>
        </w:numPr>
      </w:pPr>
      <w:bookmarkStart w:id="73" w:name="_Toc459896339"/>
      <w:r>
        <w:t>Rejets IFRIC liés</w:t>
      </w:r>
      <w:bookmarkEnd w:id="73"/>
    </w:p>
    <w:p w:rsidR="00DC5CD9" w:rsidRDefault="00DC5CD9" w:rsidP="00DC5CD9">
      <w:pPr>
        <w:pStyle w:val="CACCorps"/>
      </w:pPr>
    </w:p>
    <w:tbl>
      <w:tblPr>
        <w:tblW w:w="9480" w:type="dxa"/>
        <w:tblInd w:w="55" w:type="dxa"/>
        <w:tblCellMar>
          <w:left w:w="70" w:type="dxa"/>
          <w:right w:w="70" w:type="dxa"/>
        </w:tblCellMar>
        <w:tblLook w:val="04A0" w:firstRow="1" w:lastRow="0" w:firstColumn="1" w:lastColumn="0" w:noHBand="0" w:noVBand="1"/>
      </w:tblPr>
      <w:tblGrid>
        <w:gridCol w:w="2280"/>
        <w:gridCol w:w="5360"/>
        <w:gridCol w:w="1840"/>
      </w:tblGrid>
      <w:tr w:rsidR="00DC5CD9" w:rsidRPr="00C2318D" w:rsidTr="00DC5CD9">
        <w:trPr>
          <w:trHeight w:val="300"/>
        </w:trPr>
        <w:tc>
          <w:tcPr>
            <w:tcW w:w="2280" w:type="dxa"/>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C2318D" w:rsidRDefault="00DC5CD9" w:rsidP="00DC5CD9">
            <w:pPr>
              <w:jc w:val="center"/>
              <w:rPr>
                <w:rFonts w:eastAsia="Times New Roman" w:cs="Times New Roman"/>
                <w:b/>
                <w:bCs/>
                <w:color w:val="FFFFFF"/>
                <w:lang w:eastAsia="fr-FR"/>
              </w:rPr>
            </w:pPr>
            <w:r w:rsidRPr="00C2318D">
              <w:rPr>
                <w:rFonts w:eastAsia="Times New Roman" w:cs="Times New Roman"/>
                <w:b/>
                <w:bCs/>
                <w:color w:val="FFFFFF"/>
                <w:lang w:eastAsia="fr-FR"/>
              </w:rPr>
              <w:t>TYPE</w:t>
            </w:r>
          </w:p>
        </w:tc>
        <w:tc>
          <w:tcPr>
            <w:tcW w:w="5360" w:type="dxa"/>
            <w:tcBorders>
              <w:top w:val="single" w:sz="4" w:space="0" w:color="auto"/>
              <w:left w:val="nil"/>
              <w:bottom w:val="single" w:sz="4" w:space="0" w:color="auto"/>
              <w:right w:val="single" w:sz="4" w:space="0" w:color="auto"/>
            </w:tcBorders>
            <w:shd w:val="clear" w:color="000000" w:fill="7030A0"/>
            <w:vAlign w:val="center"/>
            <w:hideMark/>
          </w:tcPr>
          <w:p w:rsidR="00DC5CD9" w:rsidRPr="00C2318D" w:rsidRDefault="00DC5CD9" w:rsidP="00DC5CD9">
            <w:pPr>
              <w:jc w:val="center"/>
              <w:rPr>
                <w:rFonts w:eastAsia="Times New Roman" w:cs="Times New Roman"/>
                <w:b/>
                <w:bCs/>
                <w:color w:val="FFFFFF"/>
                <w:lang w:eastAsia="fr-FR"/>
              </w:rPr>
            </w:pPr>
            <w:r w:rsidRPr="00C2318D">
              <w:rPr>
                <w:rFonts w:eastAsia="Times New Roman" w:cs="Times New Roman"/>
                <w:b/>
                <w:bCs/>
                <w:color w:val="FFFFFF"/>
                <w:lang w:eastAsia="fr-FR"/>
              </w:rPr>
              <w:t>TITRE</w:t>
            </w:r>
          </w:p>
        </w:tc>
        <w:tc>
          <w:tcPr>
            <w:tcW w:w="1840" w:type="dxa"/>
            <w:tcBorders>
              <w:top w:val="single" w:sz="4" w:space="0" w:color="auto"/>
              <w:left w:val="nil"/>
              <w:bottom w:val="single" w:sz="4" w:space="0" w:color="auto"/>
              <w:right w:val="single" w:sz="4" w:space="0" w:color="auto"/>
            </w:tcBorders>
            <w:shd w:val="clear" w:color="000000" w:fill="7030A0"/>
            <w:vAlign w:val="center"/>
            <w:hideMark/>
          </w:tcPr>
          <w:p w:rsidR="00DC5CD9" w:rsidRPr="00C2318D" w:rsidRDefault="00DC5CD9" w:rsidP="00DC5CD9">
            <w:pPr>
              <w:jc w:val="center"/>
              <w:rPr>
                <w:rFonts w:eastAsia="Times New Roman" w:cs="Times New Roman"/>
                <w:b/>
                <w:bCs/>
                <w:color w:val="FFFFFF"/>
                <w:lang w:eastAsia="fr-FR"/>
              </w:rPr>
            </w:pPr>
            <w:r w:rsidRPr="00C2318D">
              <w:rPr>
                <w:rFonts w:eastAsia="Times New Roman" w:cs="Times New Roman"/>
                <w:b/>
                <w:bCs/>
                <w:color w:val="FFFFFF"/>
                <w:lang w:eastAsia="fr-FR"/>
              </w:rPr>
              <w:t>Date de décision</w:t>
            </w:r>
          </w:p>
        </w:tc>
      </w:tr>
      <w:tr w:rsidR="00DC5CD9" w:rsidRPr="00C2318D" w:rsidTr="00DC5CD9">
        <w:trPr>
          <w:trHeight w:val="300"/>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DC5CD9" w:rsidRPr="00C2318D" w:rsidRDefault="00DC5CD9" w:rsidP="00DC5CD9">
            <w:pPr>
              <w:jc w:val="center"/>
              <w:rPr>
                <w:rFonts w:eastAsia="Times New Roman" w:cs="Times New Roman"/>
                <w:color w:val="000000"/>
                <w:lang w:eastAsia="fr-FR"/>
              </w:rPr>
            </w:pPr>
            <w:r w:rsidRPr="00C2318D">
              <w:rPr>
                <w:rFonts w:eastAsia="Times New Roman" w:cs="Times New Roman"/>
                <w:color w:val="000000"/>
                <w:lang w:eastAsia="fr-FR"/>
              </w:rPr>
              <w:t>Rejet</w:t>
            </w:r>
          </w:p>
        </w:tc>
        <w:tc>
          <w:tcPr>
            <w:tcW w:w="5360" w:type="dxa"/>
            <w:tcBorders>
              <w:top w:val="nil"/>
              <w:left w:val="nil"/>
              <w:bottom w:val="single" w:sz="4" w:space="0" w:color="auto"/>
              <w:right w:val="single" w:sz="4" w:space="0" w:color="auto"/>
            </w:tcBorders>
            <w:shd w:val="clear" w:color="auto" w:fill="auto"/>
            <w:vAlign w:val="center"/>
            <w:hideMark/>
          </w:tcPr>
          <w:p w:rsidR="00DC5CD9" w:rsidRPr="00C2318D" w:rsidRDefault="00DC5CD9" w:rsidP="00DC5CD9">
            <w:pPr>
              <w:jc w:val="left"/>
              <w:rPr>
                <w:rFonts w:eastAsia="Times New Roman" w:cs="Times New Roman"/>
                <w:color w:val="000000"/>
                <w:lang w:eastAsia="fr-FR"/>
              </w:rPr>
            </w:pPr>
            <w:r w:rsidRPr="00C2318D">
              <w:rPr>
                <w:rFonts w:eastAsia="Times New Roman" w:cs="Times New Roman"/>
                <w:color w:val="000000"/>
                <w:lang w:eastAsia="fr-FR"/>
              </w:rPr>
              <w:t>Nouvelle publication d'états finan</w:t>
            </w:r>
            <w:r>
              <w:rPr>
                <w:rFonts w:eastAsia="Times New Roman" w:cs="Times New Roman"/>
                <w:color w:val="000000"/>
                <w:lang w:eastAsia="fr-FR"/>
              </w:rPr>
              <w:t>ci</w:t>
            </w:r>
            <w:r w:rsidRPr="00C2318D">
              <w:rPr>
                <w:rFonts w:eastAsia="Times New Roman" w:cs="Times New Roman"/>
                <w:color w:val="000000"/>
                <w:lang w:eastAsia="fr-FR"/>
              </w:rPr>
              <w:t>ers antérieurs</w:t>
            </w:r>
          </w:p>
        </w:tc>
        <w:tc>
          <w:tcPr>
            <w:tcW w:w="1840" w:type="dxa"/>
            <w:tcBorders>
              <w:top w:val="nil"/>
              <w:left w:val="nil"/>
              <w:bottom w:val="single" w:sz="4" w:space="0" w:color="auto"/>
              <w:right w:val="single" w:sz="4" w:space="0" w:color="auto"/>
            </w:tcBorders>
            <w:shd w:val="clear" w:color="auto" w:fill="auto"/>
            <w:noWrap/>
            <w:vAlign w:val="center"/>
            <w:hideMark/>
          </w:tcPr>
          <w:p w:rsidR="00DC5CD9" w:rsidRPr="00C2318D" w:rsidRDefault="00DC5CD9" w:rsidP="00DC5CD9">
            <w:pPr>
              <w:jc w:val="center"/>
              <w:rPr>
                <w:rFonts w:eastAsia="Times New Roman" w:cs="Times New Roman"/>
                <w:color w:val="000000"/>
                <w:lang w:eastAsia="fr-FR"/>
              </w:rPr>
            </w:pPr>
            <w:r w:rsidRPr="00C2318D">
              <w:rPr>
                <w:rFonts w:eastAsia="Times New Roman" w:cs="Times New Roman"/>
                <w:color w:val="000000"/>
                <w:lang w:eastAsia="fr-FR"/>
              </w:rPr>
              <w:t>15/05/2013</w:t>
            </w:r>
          </w:p>
        </w:tc>
      </w:tr>
    </w:tbl>
    <w:p w:rsidR="00DC5CD9" w:rsidRDefault="00DC5CD9" w:rsidP="00DC5CD9">
      <w:pPr>
        <w:pStyle w:val="CACCorps"/>
      </w:pPr>
    </w:p>
    <w:p w:rsidR="00DC5CD9" w:rsidRDefault="00DC5CD9" w:rsidP="00DC5CD9">
      <w:pPr>
        <w:pStyle w:val="CACCorps"/>
      </w:pPr>
    </w:p>
    <w:p w:rsidR="00DC5CD9" w:rsidRDefault="00DC5CD9" w:rsidP="005F7220">
      <w:pPr>
        <w:pStyle w:val="CACTitre2"/>
        <w:numPr>
          <w:ilvl w:val="1"/>
          <w:numId w:val="6"/>
        </w:numPr>
      </w:pPr>
      <w:bookmarkStart w:id="74" w:name="_Toc459896340"/>
      <w:r>
        <w:t>Recommandations AMF et Décisions ESMA</w:t>
      </w:r>
      <w:bookmarkEnd w:id="74"/>
    </w:p>
    <w:p w:rsidR="00DC5CD9" w:rsidRDefault="00DC5CD9" w:rsidP="002F5042">
      <w:pPr>
        <w:pStyle w:val="CACCorps"/>
      </w:pPr>
    </w:p>
    <w:p w:rsidR="00DC5CD9" w:rsidRDefault="00DC5CD9" w:rsidP="005F7220">
      <w:pPr>
        <w:pStyle w:val="CACTitre3"/>
        <w:numPr>
          <w:ilvl w:val="2"/>
          <w:numId w:val="6"/>
        </w:numPr>
      </w:pPr>
      <w:bookmarkStart w:id="75" w:name="_Toc459896341"/>
      <w:r>
        <w:t>Recommandations AMF</w:t>
      </w:r>
      <w:bookmarkEnd w:id="75"/>
    </w:p>
    <w:p w:rsidR="00DC5CD9" w:rsidRDefault="00DC5CD9" w:rsidP="00DC5CD9">
      <w:pPr>
        <w:pStyle w:val="CACCorps"/>
      </w:pPr>
    </w:p>
    <w:p w:rsidR="00DC5CD9" w:rsidRDefault="00DC5CD9" w:rsidP="00DC5CD9">
      <w:pPr>
        <w:pStyle w:val="CACCorps"/>
      </w:pPr>
      <w:r>
        <w:t>Aucune</w:t>
      </w:r>
    </w:p>
    <w:p w:rsidR="00DC5CD9" w:rsidRDefault="00DC5CD9" w:rsidP="002F5042">
      <w:pPr>
        <w:pStyle w:val="CACCorps"/>
      </w:pPr>
    </w:p>
    <w:p w:rsidR="00DC5CD9" w:rsidRDefault="00DC5CD9" w:rsidP="005F7220">
      <w:pPr>
        <w:pStyle w:val="CACTitre3"/>
        <w:numPr>
          <w:ilvl w:val="2"/>
          <w:numId w:val="6"/>
        </w:numPr>
      </w:pPr>
      <w:bookmarkStart w:id="76" w:name="_Toc459896342"/>
      <w:r>
        <w:t>Décisions ESMA</w:t>
      </w:r>
      <w:bookmarkEnd w:id="76"/>
    </w:p>
    <w:p w:rsidR="00DC5CD9" w:rsidRDefault="00DC5CD9" w:rsidP="002F5042">
      <w:pPr>
        <w:pStyle w:val="CACCorps"/>
      </w:pPr>
    </w:p>
    <w:p w:rsidR="00DC5CD9" w:rsidRDefault="00DC5CD9" w:rsidP="00DC5CD9">
      <w:pPr>
        <w:pStyle w:val="CACCorps"/>
      </w:pPr>
      <w:r>
        <w:t>Aucune</w:t>
      </w:r>
    </w:p>
    <w:p w:rsidR="00C21592" w:rsidRDefault="00C21592">
      <w:pPr>
        <w:jc w:val="left"/>
      </w:pPr>
      <w:r>
        <w:br w:type="page"/>
      </w:r>
    </w:p>
    <w:p w:rsidR="00DC5CD9" w:rsidRDefault="00DC5CD9" w:rsidP="00DC5CD9">
      <w:pPr>
        <w:pStyle w:val="CACCorps"/>
      </w:pPr>
    </w:p>
    <w:p w:rsidR="00DC5CD9" w:rsidRDefault="00DC5CD9" w:rsidP="005F7220">
      <w:pPr>
        <w:pStyle w:val="CACTitre2"/>
        <w:numPr>
          <w:ilvl w:val="1"/>
          <w:numId w:val="6"/>
        </w:numPr>
      </w:pPr>
      <w:bookmarkStart w:id="77" w:name="_Toc459896343"/>
      <w:r>
        <w:t>Rappels sur la norme</w:t>
      </w:r>
      <w:bookmarkEnd w:id="77"/>
    </w:p>
    <w:p w:rsidR="00DC5CD9" w:rsidRDefault="00DC5CD9" w:rsidP="002F5042">
      <w:pPr>
        <w:pStyle w:val="CACCorps"/>
      </w:pPr>
    </w:p>
    <w:p w:rsidR="00DC5CD9" w:rsidRDefault="00DC5CD9" w:rsidP="002F5042">
      <w:pPr>
        <w:pStyle w:val="CACCorps"/>
      </w:pPr>
    </w:p>
    <w:p w:rsidR="00DC5CD9" w:rsidRDefault="00DC5CD9" w:rsidP="005F7220">
      <w:pPr>
        <w:pStyle w:val="CACTitre2"/>
        <w:numPr>
          <w:ilvl w:val="1"/>
          <w:numId w:val="6"/>
        </w:numPr>
      </w:pPr>
      <w:bookmarkStart w:id="78" w:name="_Toc459896344"/>
      <w:r>
        <w:t>Ressources mises à disposition</w:t>
      </w:r>
      <w:bookmarkEnd w:id="78"/>
    </w:p>
    <w:p w:rsidR="00DC5CD9" w:rsidRDefault="00DC5CD9" w:rsidP="002F5042">
      <w:pPr>
        <w:pStyle w:val="CACCorps"/>
      </w:pPr>
    </w:p>
    <w:p w:rsidR="00DC5CD9" w:rsidRDefault="00DC5CD9" w:rsidP="002F5042">
      <w:pPr>
        <w:pStyle w:val="CACCorps"/>
      </w:pPr>
    </w:p>
    <w:p w:rsidR="00DC5CD9" w:rsidRDefault="00DC5CD9" w:rsidP="00F549E8">
      <w:pPr>
        <w:pStyle w:val="CACTitre1"/>
        <w:numPr>
          <w:ilvl w:val="0"/>
          <w:numId w:val="25"/>
        </w:numPr>
      </w:pPr>
      <w:bookmarkStart w:id="79" w:name="_Toc459896345"/>
      <w:r>
        <w:t>IAS 21 - Conversion des etats financiers des entités étrangères</w:t>
      </w:r>
      <w:bookmarkEnd w:id="79"/>
    </w:p>
    <w:p w:rsidR="00DC5CD9" w:rsidRDefault="00DC5CD9" w:rsidP="002F5042">
      <w:pPr>
        <w:pStyle w:val="CACCorps"/>
      </w:pPr>
    </w:p>
    <w:p w:rsidR="00DC5CD9" w:rsidRDefault="00DC5CD9" w:rsidP="005F7220">
      <w:pPr>
        <w:pStyle w:val="CACTitre2"/>
        <w:numPr>
          <w:ilvl w:val="1"/>
          <w:numId w:val="7"/>
        </w:numPr>
      </w:pPr>
      <w:bookmarkStart w:id="80" w:name="_Toc459896346"/>
      <w:r>
        <w:t>Historique</w:t>
      </w:r>
      <w:bookmarkEnd w:id="80"/>
    </w:p>
    <w:p w:rsidR="00DC5CD9" w:rsidRDefault="00DC5CD9" w:rsidP="002F5042">
      <w:pPr>
        <w:pStyle w:val="CACCorps"/>
      </w:pPr>
    </w:p>
    <w:p w:rsidR="00DC5CD9" w:rsidRDefault="00DC5CD9" w:rsidP="005F7220">
      <w:pPr>
        <w:pStyle w:val="CACTitre3"/>
        <w:numPr>
          <w:ilvl w:val="2"/>
          <w:numId w:val="7"/>
        </w:numPr>
      </w:pPr>
      <w:bookmarkStart w:id="81" w:name="_Toc459896347"/>
      <w:r>
        <w:t>Historique au niveau de l’Union européenne</w:t>
      </w:r>
      <w:bookmarkEnd w:id="81"/>
    </w:p>
    <w:p w:rsidR="00DC5CD9" w:rsidRDefault="00DC5CD9"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1320"/>
        <w:gridCol w:w="2044"/>
        <w:gridCol w:w="1188"/>
        <w:gridCol w:w="1161"/>
        <w:gridCol w:w="1176"/>
        <w:gridCol w:w="1148"/>
        <w:gridCol w:w="1118"/>
      </w:tblGrid>
      <w:tr w:rsidR="00DC5CD9" w:rsidRPr="001847A8"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CARACTERE APPLICABLE</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Norme</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Effets des variations des cours des monnaies étrangères</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01/12/1993</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01/01/1995</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29/09/2003</w:t>
            </w:r>
          </w:p>
        </w:tc>
        <w:tc>
          <w:tcPr>
            <w:tcW w:w="0" w:type="auto"/>
            <w:tcBorders>
              <w:top w:val="nil"/>
              <w:left w:val="nil"/>
              <w:bottom w:val="single" w:sz="4" w:space="0" w:color="auto"/>
              <w:right w:val="single" w:sz="4" w:space="0" w:color="auto"/>
            </w:tcBorders>
            <w:shd w:val="clear" w:color="000000" w:fill="DA9694"/>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16/10/2003</w:t>
            </w:r>
          </w:p>
        </w:tc>
        <w:tc>
          <w:tcPr>
            <w:tcW w:w="0" w:type="auto"/>
            <w:tcBorders>
              <w:top w:val="nil"/>
              <w:left w:val="nil"/>
              <w:bottom w:val="single" w:sz="4" w:space="0" w:color="auto"/>
              <w:right w:val="single" w:sz="4" w:space="0" w:color="auto"/>
            </w:tcBorders>
            <w:shd w:val="clear" w:color="000000" w:fill="DA9694"/>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NON Caduc</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Révision Norme</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Effets des variations des cours des monnaies étrangères</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18/12/2003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29/12/2004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 xml:space="preserve">Investissement net dans une activité à l’étranger </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15/12/2005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01/01/2006</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08/03/2006</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01/01/2006</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 révision d'IAS 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06/09/2007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17/12/2008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9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l'amendement d'IAS 27 Coût d’une participation dans une filiale, une entité contrôlée conjointement ou une entreprise associée</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22/05/2008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23/01/2009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 révision d'IAS 27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10/01/2008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03/06/2009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 xml:space="preserve">Suite à l'amendement d'IAS 1 Présentation des autres éléments du résultat global </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16/06/2012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05/06/2012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01/07/2012</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l'adoption d'IFRS 10</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12/05/2011</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01/01/2014</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l'adoption d'IFRS 11</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12/05/2011</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01/01/2014</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l'adoption d'IFRS 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20/12/2010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01/07/2011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bl>
    <w:p w:rsidR="00DC5CD9" w:rsidRDefault="00DC5CD9" w:rsidP="002F5042">
      <w:pPr>
        <w:pStyle w:val="CACCorps"/>
      </w:pPr>
    </w:p>
    <w:p w:rsidR="00DC5CD9" w:rsidRDefault="00DC5CD9" w:rsidP="002F5042">
      <w:pPr>
        <w:pStyle w:val="CACCorps"/>
      </w:pPr>
    </w:p>
    <w:p w:rsidR="00DC5CD9" w:rsidRDefault="00DC5CD9" w:rsidP="005F7220">
      <w:pPr>
        <w:pStyle w:val="CACTitre3"/>
        <w:numPr>
          <w:ilvl w:val="2"/>
          <w:numId w:val="7"/>
        </w:numPr>
      </w:pPr>
      <w:bookmarkStart w:id="82" w:name="_Toc459896348"/>
      <w:r>
        <w:t>Textes en cours d’adoption par la Communauté européenne</w:t>
      </w:r>
      <w:bookmarkEnd w:id="82"/>
    </w:p>
    <w:p w:rsidR="00DC5CD9" w:rsidRDefault="00DC5CD9" w:rsidP="002F5042">
      <w:pPr>
        <w:pStyle w:val="CACCorps"/>
      </w:pPr>
    </w:p>
    <w:p w:rsidR="00DC5CD9" w:rsidRDefault="00DC5CD9" w:rsidP="00DC5CD9">
      <w:pPr>
        <w:pStyle w:val="CACCorps"/>
      </w:pPr>
      <w:r>
        <w:t>Aucun</w:t>
      </w:r>
    </w:p>
    <w:p w:rsidR="00C21592" w:rsidRDefault="00C21592">
      <w:pPr>
        <w:jc w:val="left"/>
      </w:pPr>
      <w:r>
        <w:br w:type="page"/>
      </w:r>
    </w:p>
    <w:p w:rsidR="00DC5CD9" w:rsidRDefault="00DC5CD9" w:rsidP="00DC5CD9">
      <w:pPr>
        <w:pStyle w:val="CACCorps"/>
      </w:pPr>
    </w:p>
    <w:p w:rsidR="00DC5CD9" w:rsidRDefault="00DC5CD9" w:rsidP="005F7220">
      <w:pPr>
        <w:pStyle w:val="CACTitre3"/>
        <w:numPr>
          <w:ilvl w:val="2"/>
          <w:numId w:val="7"/>
        </w:numPr>
      </w:pPr>
      <w:bookmarkStart w:id="83" w:name="_Toc459896349"/>
      <w:r>
        <w:t>Textes en cours d’adoption par l’IASB</w:t>
      </w:r>
      <w:bookmarkEnd w:id="83"/>
    </w:p>
    <w:p w:rsidR="00DC5CD9" w:rsidRDefault="00DC5CD9" w:rsidP="002F5042">
      <w:pPr>
        <w:pStyle w:val="CACCorps"/>
      </w:pPr>
    </w:p>
    <w:p w:rsidR="00DC5CD9" w:rsidRDefault="00DC5CD9" w:rsidP="00DC5CD9">
      <w:pPr>
        <w:pStyle w:val="CACCorps"/>
      </w:pPr>
      <w:r>
        <w:t>Aucun</w:t>
      </w:r>
    </w:p>
    <w:p w:rsidR="002F5042" w:rsidRDefault="002F5042" w:rsidP="00DC5CD9">
      <w:pPr>
        <w:pStyle w:val="CACCorps"/>
      </w:pPr>
    </w:p>
    <w:p w:rsidR="00DC5CD9" w:rsidRDefault="00DC5CD9" w:rsidP="005F7220">
      <w:pPr>
        <w:pStyle w:val="CACTitre3"/>
        <w:numPr>
          <w:ilvl w:val="2"/>
          <w:numId w:val="7"/>
        </w:numPr>
      </w:pPr>
      <w:bookmarkStart w:id="84" w:name="_Toc459896350"/>
      <w:r>
        <w:t>Projets IASB</w:t>
      </w:r>
      <w:bookmarkEnd w:id="84"/>
    </w:p>
    <w:p w:rsidR="00DC5CD9" w:rsidRDefault="00DC5CD9" w:rsidP="002F5042">
      <w:pPr>
        <w:pStyle w:val="CACCorps"/>
      </w:pPr>
    </w:p>
    <w:p w:rsidR="00DC5CD9" w:rsidRDefault="00DC5CD9" w:rsidP="00DC5CD9">
      <w:pPr>
        <w:pStyle w:val="CACCorps"/>
      </w:pPr>
      <w:r>
        <w:t>Aucun</w:t>
      </w:r>
    </w:p>
    <w:p w:rsidR="00DC5CD9" w:rsidRDefault="00DC5CD9" w:rsidP="002F5042">
      <w:pPr>
        <w:pStyle w:val="CACCorps"/>
      </w:pPr>
    </w:p>
    <w:p w:rsidR="00DC5CD9" w:rsidRDefault="00DC5CD9" w:rsidP="005F7220">
      <w:pPr>
        <w:pStyle w:val="CACTitre2"/>
        <w:numPr>
          <w:ilvl w:val="1"/>
          <w:numId w:val="7"/>
        </w:numPr>
      </w:pPr>
      <w:bookmarkStart w:id="85" w:name="_Toc459896351"/>
      <w:r>
        <w:t>Normes et interprétations liées</w:t>
      </w:r>
      <w:bookmarkEnd w:id="85"/>
    </w:p>
    <w:p w:rsidR="00DC5CD9" w:rsidRDefault="00DC5CD9" w:rsidP="00DC5CD9">
      <w:pPr>
        <w:pStyle w:val="CACCorps"/>
      </w:pPr>
    </w:p>
    <w:p w:rsidR="00DC5CD9" w:rsidRPr="007A160A" w:rsidRDefault="00DC5CD9" w:rsidP="005F7220">
      <w:pPr>
        <w:pStyle w:val="CACCorps"/>
        <w:numPr>
          <w:ilvl w:val="0"/>
          <w:numId w:val="9"/>
        </w:numPr>
        <w:rPr>
          <w:i/>
        </w:rPr>
      </w:pPr>
      <w:r>
        <w:t xml:space="preserve">IFRIC 16 – </w:t>
      </w:r>
      <w:r w:rsidRPr="007A160A">
        <w:rPr>
          <w:i/>
        </w:rPr>
        <w:t>Couvertures d’un investissement net dans une activité à l’étranger</w:t>
      </w:r>
    </w:p>
    <w:p w:rsidR="00DC5CD9" w:rsidRDefault="00DC5CD9" w:rsidP="005F7220">
      <w:pPr>
        <w:pStyle w:val="CACCorps"/>
        <w:numPr>
          <w:ilvl w:val="0"/>
          <w:numId w:val="9"/>
        </w:numPr>
      </w:pPr>
      <w:r>
        <w:t xml:space="preserve">SIC 30 – </w:t>
      </w:r>
      <w:r w:rsidRPr="00C2318D">
        <w:rPr>
          <w:i/>
        </w:rPr>
        <w:t>Monnaie de présentation des états financiers - Passage de la monnaie d'évaluation à la monnaie de présentation</w:t>
      </w:r>
      <w:r>
        <w:t>. Cette interprétation a été abrogée avec la révision d’IAS 21</w:t>
      </w:r>
    </w:p>
    <w:p w:rsidR="00DC5CD9" w:rsidRDefault="00DC5CD9" w:rsidP="005F7220">
      <w:pPr>
        <w:pStyle w:val="CACCorps"/>
        <w:numPr>
          <w:ilvl w:val="0"/>
          <w:numId w:val="9"/>
        </w:numPr>
      </w:pPr>
      <w:r>
        <w:t xml:space="preserve">SIC 19 – </w:t>
      </w:r>
      <w:r w:rsidRPr="00C2318D">
        <w:rPr>
          <w:i/>
        </w:rPr>
        <w:t>Monnaie de présentation - Évaluation et présentation des états financiers selon IAS 21 et IAS 29</w:t>
      </w:r>
      <w:r>
        <w:t>. Cette interprétation a été abrogée avec la révision d’IAS 21</w:t>
      </w:r>
    </w:p>
    <w:p w:rsidR="00DC5CD9" w:rsidRDefault="00DC5CD9" w:rsidP="005F7220">
      <w:pPr>
        <w:pStyle w:val="CACCorps"/>
        <w:numPr>
          <w:ilvl w:val="0"/>
          <w:numId w:val="9"/>
        </w:numPr>
      </w:pPr>
      <w:r>
        <w:t xml:space="preserve">SIC 11 – </w:t>
      </w:r>
      <w:r w:rsidRPr="00C2318D">
        <w:rPr>
          <w:i/>
        </w:rPr>
        <w:t>Opération de change - Incorporation des pertes consécutives à une forte dévaluation monétaire dans le coût des actifs</w:t>
      </w:r>
      <w:r>
        <w:t>. Cette interprétation a été abrogée avec la révision d’IAS 21</w:t>
      </w:r>
    </w:p>
    <w:p w:rsidR="00DC5CD9" w:rsidRDefault="00DC5CD9" w:rsidP="005F7220">
      <w:pPr>
        <w:pStyle w:val="CACCorps"/>
        <w:numPr>
          <w:ilvl w:val="0"/>
          <w:numId w:val="9"/>
        </w:numPr>
      </w:pPr>
      <w:r>
        <w:t xml:space="preserve">SIC 7 – </w:t>
      </w:r>
      <w:r w:rsidRPr="00C2318D">
        <w:rPr>
          <w:i/>
        </w:rPr>
        <w:t>Introduction de l'euro</w:t>
      </w:r>
    </w:p>
    <w:p w:rsidR="00DC5CD9" w:rsidRDefault="00DC5CD9" w:rsidP="00DC5CD9">
      <w:pPr>
        <w:pStyle w:val="CACCorps"/>
      </w:pPr>
    </w:p>
    <w:p w:rsidR="00DC5CD9" w:rsidRDefault="00DC5CD9" w:rsidP="005F7220">
      <w:pPr>
        <w:pStyle w:val="CACTitre2"/>
        <w:numPr>
          <w:ilvl w:val="1"/>
          <w:numId w:val="7"/>
        </w:numPr>
      </w:pPr>
      <w:bookmarkStart w:id="86" w:name="_Toc459896352"/>
      <w:r>
        <w:t>Rejets IFRIC liés</w:t>
      </w:r>
      <w:bookmarkEnd w:id="86"/>
    </w:p>
    <w:p w:rsidR="00DC5CD9" w:rsidRDefault="00DC5CD9" w:rsidP="002F5042">
      <w:pPr>
        <w:pStyle w:val="CACCorps"/>
      </w:pPr>
    </w:p>
    <w:tbl>
      <w:tblPr>
        <w:tblW w:w="9480" w:type="dxa"/>
        <w:tblInd w:w="55" w:type="dxa"/>
        <w:tblCellMar>
          <w:left w:w="70" w:type="dxa"/>
          <w:right w:w="70" w:type="dxa"/>
        </w:tblCellMar>
        <w:tblLook w:val="04A0" w:firstRow="1" w:lastRow="0" w:firstColumn="1" w:lastColumn="0" w:noHBand="0" w:noVBand="1"/>
      </w:tblPr>
      <w:tblGrid>
        <w:gridCol w:w="2280"/>
        <w:gridCol w:w="5360"/>
        <w:gridCol w:w="1840"/>
      </w:tblGrid>
      <w:tr w:rsidR="00DC5CD9" w:rsidRPr="007A160A" w:rsidTr="00DC5CD9">
        <w:trPr>
          <w:trHeight w:val="300"/>
        </w:trPr>
        <w:tc>
          <w:tcPr>
            <w:tcW w:w="2280" w:type="dxa"/>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lang w:eastAsia="fr-FR"/>
              </w:rPr>
            </w:pPr>
            <w:r w:rsidRPr="007A160A">
              <w:rPr>
                <w:rFonts w:eastAsia="Times New Roman" w:cs="Times New Roman"/>
                <w:b/>
                <w:bCs/>
                <w:color w:val="FFFFFF"/>
                <w:lang w:eastAsia="fr-FR"/>
              </w:rPr>
              <w:t>TYPE</w:t>
            </w:r>
          </w:p>
        </w:tc>
        <w:tc>
          <w:tcPr>
            <w:tcW w:w="5360" w:type="dxa"/>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lang w:eastAsia="fr-FR"/>
              </w:rPr>
            </w:pPr>
            <w:r w:rsidRPr="007A160A">
              <w:rPr>
                <w:rFonts w:eastAsia="Times New Roman" w:cs="Times New Roman"/>
                <w:b/>
                <w:bCs/>
                <w:color w:val="FFFFFF"/>
                <w:lang w:eastAsia="fr-FR"/>
              </w:rPr>
              <w:t>TITRE</w:t>
            </w:r>
          </w:p>
        </w:tc>
        <w:tc>
          <w:tcPr>
            <w:tcW w:w="1840" w:type="dxa"/>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lang w:eastAsia="fr-FR"/>
              </w:rPr>
            </w:pPr>
            <w:r w:rsidRPr="007A160A">
              <w:rPr>
                <w:rFonts w:eastAsia="Times New Roman" w:cs="Times New Roman"/>
                <w:b/>
                <w:bCs/>
                <w:color w:val="FFFFFF"/>
                <w:lang w:eastAsia="fr-FR"/>
              </w:rPr>
              <w:t>Date de décision</w:t>
            </w:r>
          </w:p>
        </w:tc>
      </w:tr>
      <w:tr w:rsidR="00DC5CD9" w:rsidRPr="007A160A" w:rsidTr="00DC5CD9">
        <w:trPr>
          <w:trHeight w:val="300"/>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lang w:eastAsia="fr-FR"/>
              </w:rPr>
            </w:pPr>
            <w:r w:rsidRPr="007A160A">
              <w:rPr>
                <w:rFonts w:eastAsia="Times New Roman" w:cs="Times New Roman"/>
                <w:color w:val="000000"/>
                <w:lang w:eastAsia="fr-FR"/>
              </w:rPr>
              <w:t>Rejet</w:t>
            </w:r>
          </w:p>
        </w:tc>
        <w:tc>
          <w:tcPr>
            <w:tcW w:w="5360" w:type="dxa"/>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left"/>
              <w:rPr>
                <w:rFonts w:eastAsia="Times New Roman" w:cs="Times New Roman"/>
                <w:color w:val="000000"/>
                <w:lang w:eastAsia="fr-FR"/>
              </w:rPr>
            </w:pPr>
            <w:r w:rsidRPr="007A160A">
              <w:rPr>
                <w:rFonts w:eastAsia="Times New Roman" w:cs="Times New Roman"/>
                <w:color w:val="000000"/>
                <w:lang w:eastAsia="fr-FR"/>
              </w:rPr>
              <w:t>Contrôles des changes et hyperinflation</w:t>
            </w:r>
          </w:p>
        </w:tc>
        <w:tc>
          <w:tcPr>
            <w:tcW w:w="1840" w:type="dxa"/>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lang w:eastAsia="fr-FR"/>
              </w:rPr>
            </w:pPr>
            <w:r w:rsidRPr="007A160A">
              <w:rPr>
                <w:rFonts w:eastAsia="Times New Roman" w:cs="Times New Roman"/>
                <w:color w:val="000000"/>
                <w:lang w:eastAsia="fr-FR"/>
              </w:rPr>
              <w:t>11/11/2014</w:t>
            </w:r>
          </w:p>
        </w:tc>
      </w:tr>
    </w:tbl>
    <w:p w:rsidR="00DC5CD9" w:rsidRDefault="00DC5CD9" w:rsidP="002F5042">
      <w:pPr>
        <w:pStyle w:val="CACCorps"/>
      </w:pPr>
    </w:p>
    <w:p w:rsidR="00DC5CD9" w:rsidRDefault="00DC5CD9" w:rsidP="005F7220">
      <w:pPr>
        <w:pStyle w:val="CACTitre2"/>
        <w:numPr>
          <w:ilvl w:val="1"/>
          <w:numId w:val="7"/>
        </w:numPr>
      </w:pPr>
      <w:bookmarkStart w:id="87" w:name="_Toc459896353"/>
      <w:r>
        <w:t>Recommandations AMF et Décisions ESMA</w:t>
      </w:r>
      <w:bookmarkEnd w:id="87"/>
    </w:p>
    <w:p w:rsidR="00DC5CD9" w:rsidRDefault="00DC5CD9" w:rsidP="002F5042">
      <w:pPr>
        <w:pStyle w:val="CACCorps"/>
      </w:pPr>
    </w:p>
    <w:p w:rsidR="00DC5CD9" w:rsidRDefault="00DC5CD9" w:rsidP="005F7220">
      <w:pPr>
        <w:pStyle w:val="CACTitre3"/>
        <w:numPr>
          <w:ilvl w:val="2"/>
          <w:numId w:val="7"/>
        </w:numPr>
      </w:pPr>
      <w:bookmarkStart w:id="88" w:name="_Toc459896354"/>
      <w:r>
        <w:t>Recommandations AMF</w:t>
      </w:r>
      <w:bookmarkEnd w:id="88"/>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3"/>
        <w:numPr>
          <w:ilvl w:val="2"/>
          <w:numId w:val="7"/>
        </w:numPr>
      </w:pPr>
      <w:bookmarkStart w:id="89" w:name="_Toc459896355"/>
      <w:r>
        <w:t>Décisions ESMA</w:t>
      </w:r>
      <w:bookmarkEnd w:id="89"/>
    </w:p>
    <w:p w:rsidR="00DC5CD9" w:rsidRDefault="00DC5CD9"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759"/>
        <w:gridCol w:w="3683"/>
        <w:gridCol w:w="1284"/>
        <w:gridCol w:w="1817"/>
        <w:gridCol w:w="1612"/>
      </w:tblGrid>
      <w:tr w:rsidR="00DC5CD9" w:rsidRPr="007A160A"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Référence Texte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DATE D'ENTREE EN VIGUEUR</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CARACTERE APPLICABLE</w:t>
            </w:r>
          </w:p>
        </w:tc>
      </w:tr>
      <w:tr w:rsidR="00DC5CD9" w:rsidRPr="007A160A"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left"/>
              <w:rPr>
                <w:rFonts w:eastAsia="Times New Roman" w:cs="Times New Roman"/>
                <w:color w:val="000000"/>
                <w:sz w:val="18"/>
                <w:szCs w:val="18"/>
                <w:lang w:eastAsia="fr-FR"/>
              </w:rPr>
            </w:pPr>
            <w:r w:rsidRPr="007A160A">
              <w:rPr>
                <w:rFonts w:eastAsia="Times New Roman" w:cs="Times New Roman"/>
                <w:color w:val="000000"/>
                <w:sz w:val="18"/>
                <w:szCs w:val="18"/>
                <w:lang w:eastAsia="fr-FR"/>
              </w:rPr>
              <w:t>Redénomination d'un prêt en devises étrangères</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EECS/0407-15</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En vigueur</w:t>
            </w:r>
          </w:p>
        </w:tc>
      </w:tr>
      <w:tr w:rsidR="00DC5CD9" w:rsidRPr="007A160A" w:rsidTr="00DC5CD9">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left"/>
              <w:rPr>
                <w:rFonts w:eastAsia="Times New Roman" w:cs="Times New Roman"/>
                <w:color w:val="000000"/>
                <w:sz w:val="18"/>
                <w:szCs w:val="18"/>
                <w:lang w:eastAsia="fr-FR"/>
              </w:rPr>
            </w:pPr>
            <w:r w:rsidRPr="007A160A">
              <w:rPr>
                <w:rFonts w:eastAsia="Times New Roman" w:cs="Times New Roman"/>
                <w:color w:val="000000"/>
                <w:sz w:val="18"/>
                <w:szCs w:val="18"/>
                <w:lang w:eastAsia="fr-FR"/>
              </w:rPr>
              <w:t>Classement des pertes de changes dans l'état des flux de trésorerie</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EECS/0111-07</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01/01/2008</w:t>
            </w:r>
          </w:p>
        </w:tc>
        <w:tc>
          <w:tcPr>
            <w:tcW w:w="0" w:type="auto"/>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2"/>
        <w:numPr>
          <w:ilvl w:val="1"/>
          <w:numId w:val="7"/>
        </w:numPr>
      </w:pPr>
      <w:bookmarkStart w:id="90" w:name="_Toc459896356"/>
      <w:r>
        <w:t>Rappels sur la norme</w:t>
      </w:r>
      <w:bookmarkEnd w:id="90"/>
    </w:p>
    <w:p w:rsidR="00DC5CD9" w:rsidRDefault="00DC5CD9" w:rsidP="002F5042">
      <w:pPr>
        <w:pStyle w:val="CACCorps"/>
      </w:pPr>
    </w:p>
    <w:p w:rsidR="00DC5CD9" w:rsidRDefault="00DC5CD9" w:rsidP="002F5042">
      <w:pPr>
        <w:pStyle w:val="CACCorps"/>
      </w:pPr>
    </w:p>
    <w:p w:rsidR="00DC5CD9" w:rsidRDefault="00DC5CD9" w:rsidP="005F7220">
      <w:pPr>
        <w:pStyle w:val="CACTitre2"/>
        <w:numPr>
          <w:ilvl w:val="1"/>
          <w:numId w:val="7"/>
        </w:numPr>
      </w:pPr>
      <w:bookmarkStart w:id="91" w:name="_Toc459896357"/>
      <w:r>
        <w:t>Ressources mises à disposition</w:t>
      </w:r>
      <w:bookmarkEnd w:id="91"/>
    </w:p>
    <w:p w:rsidR="00DC5CD9" w:rsidRDefault="00DC5CD9" w:rsidP="00DC5CD9">
      <w:pPr>
        <w:pStyle w:val="CACCorps"/>
      </w:pPr>
    </w:p>
    <w:p w:rsidR="00DC5CD9" w:rsidRDefault="00DC5CD9" w:rsidP="00DC5CD9">
      <w:pPr>
        <w:pStyle w:val="CACCorps"/>
      </w:pPr>
    </w:p>
    <w:p w:rsidR="00DC5CD9" w:rsidRDefault="00DC5CD9" w:rsidP="00F549E8">
      <w:pPr>
        <w:pStyle w:val="CACTitre1"/>
      </w:pPr>
      <w:bookmarkStart w:id="92" w:name="_Toc459896358"/>
      <w:r>
        <w:lastRenderedPageBreak/>
        <w:t xml:space="preserve">IFRIC 16 - </w:t>
      </w:r>
      <w:r w:rsidRPr="003F6F31">
        <w:t>Couvertures d’un investissement net dans une activité à l’étranger</w:t>
      </w:r>
      <w:bookmarkEnd w:id="92"/>
    </w:p>
    <w:p w:rsidR="002F5042" w:rsidRDefault="002F5042" w:rsidP="002F5042">
      <w:pPr>
        <w:pStyle w:val="CACCorps"/>
      </w:pPr>
    </w:p>
    <w:p w:rsidR="00DC5CD9" w:rsidRDefault="00DC5CD9" w:rsidP="005F7220">
      <w:pPr>
        <w:pStyle w:val="CACTitre2"/>
        <w:numPr>
          <w:ilvl w:val="1"/>
          <w:numId w:val="7"/>
        </w:numPr>
      </w:pPr>
      <w:bookmarkStart w:id="93" w:name="_Toc459896359"/>
      <w:r>
        <w:t>Historique</w:t>
      </w:r>
      <w:bookmarkEnd w:id="93"/>
    </w:p>
    <w:p w:rsidR="002F5042" w:rsidRDefault="002F5042" w:rsidP="002F5042">
      <w:pPr>
        <w:pStyle w:val="CACCorps"/>
      </w:pPr>
    </w:p>
    <w:p w:rsidR="00DC5CD9" w:rsidRDefault="00DC5CD9" w:rsidP="005F7220">
      <w:pPr>
        <w:pStyle w:val="CACTitre3"/>
        <w:numPr>
          <w:ilvl w:val="2"/>
          <w:numId w:val="7"/>
        </w:numPr>
      </w:pPr>
      <w:bookmarkStart w:id="94" w:name="_Toc459896360"/>
      <w:r>
        <w:t>Historique au niveau de l’Union européenne</w:t>
      </w:r>
      <w:bookmarkEnd w:id="94"/>
    </w:p>
    <w:p w:rsidR="002F5042" w:rsidRDefault="002F5042"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1362"/>
        <w:gridCol w:w="1856"/>
        <w:gridCol w:w="1210"/>
        <w:gridCol w:w="1204"/>
        <w:gridCol w:w="1194"/>
        <w:gridCol w:w="1188"/>
        <w:gridCol w:w="1141"/>
      </w:tblGrid>
      <w:tr w:rsidR="00DC5CD9" w:rsidRPr="003F6F31" w:rsidTr="002F5042">
        <w:trPr>
          <w:trHeight w:val="600"/>
          <w:tblHeader/>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CARACTERE APPLICABLE</w:t>
            </w:r>
          </w:p>
        </w:tc>
      </w:tr>
      <w:tr w:rsidR="00DC5CD9" w:rsidRPr="003F6F31"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Interprétation</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 xml:space="preserve">Couvertures d’un investissement net dans une activité à l’étranger </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03/07/2008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01/10/2008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04/06/2009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01/07/2009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r w:rsidR="00DC5CD9" w:rsidRPr="003F6F31"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Améliorations Annuelles 2007-2009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Amendement sur la restriction à une entité qui détient des instrucments de couverture</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16/04/2009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23/03/2010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01/01/2010</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r w:rsidR="00DC5CD9" w:rsidRPr="003F6F31"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Amendement</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Suite à l'adoption d'IFRS 11</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12/05/2011</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01/01/2013</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11/12/2012</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01/01/2014</w:t>
            </w:r>
          </w:p>
        </w:tc>
        <w:tc>
          <w:tcPr>
            <w:tcW w:w="0" w:type="auto"/>
            <w:tcBorders>
              <w:top w:val="nil"/>
              <w:left w:val="nil"/>
              <w:bottom w:val="single" w:sz="4" w:space="0" w:color="auto"/>
              <w:right w:val="single" w:sz="4" w:space="0" w:color="auto"/>
            </w:tcBorders>
            <w:shd w:val="clear" w:color="000000" w:fill="76EF6D"/>
            <w:noWrap/>
            <w:vAlign w:val="bottom"/>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bl>
    <w:p w:rsidR="00DC5CD9" w:rsidRDefault="00DC5CD9" w:rsidP="002F5042">
      <w:pPr>
        <w:pStyle w:val="CACCorps"/>
      </w:pPr>
    </w:p>
    <w:p w:rsidR="00DC5CD9" w:rsidRDefault="00DC5CD9" w:rsidP="005F7220">
      <w:pPr>
        <w:pStyle w:val="CACTitre3"/>
        <w:numPr>
          <w:ilvl w:val="2"/>
          <w:numId w:val="7"/>
        </w:numPr>
      </w:pPr>
      <w:bookmarkStart w:id="95" w:name="_Toc459896361"/>
      <w:r>
        <w:t>Textes en cours d’adoption par la Communauté européenne</w:t>
      </w:r>
      <w:bookmarkEnd w:id="95"/>
    </w:p>
    <w:p w:rsidR="00DC5CD9" w:rsidRDefault="00DC5CD9" w:rsidP="002F5042">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7"/>
        </w:numPr>
      </w:pPr>
      <w:bookmarkStart w:id="96" w:name="_Toc459896362"/>
      <w:r>
        <w:t>Textes en cours d’adoption par l’IASB</w:t>
      </w:r>
      <w:bookmarkEnd w:id="96"/>
    </w:p>
    <w:p w:rsidR="00DC5CD9" w:rsidRDefault="00DC5CD9" w:rsidP="002F5042">
      <w:pPr>
        <w:pStyle w:val="CACCorps"/>
      </w:pPr>
    </w:p>
    <w:p w:rsidR="00DC5CD9" w:rsidRDefault="00DC5CD9" w:rsidP="00DC5CD9">
      <w:pPr>
        <w:pStyle w:val="CACCorps"/>
      </w:pPr>
      <w:r>
        <w:t>Aucun</w:t>
      </w:r>
    </w:p>
    <w:p w:rsidR="00DC5CD9" w:rsidRDefault="00DC5CD9" w:rsidP="005F7220">
      <w:pPr>
        <w:pStyle w:val="CACTitre3"/>
        <w:numPr>
          <w:ilvl w:val="2"/>
          <w:numId w:val="7"/>
        </w:numPr>
      </w:pPr>
      <w:bookmarkStart w:id="97" w:name="_Toc459896363"/>
      <w:r>
        <w:t>Projets IASB</w:t>
      </w:r>
      <w:bookmarkEnd w:id="97"/>
    </w:p>
    <w:p w:rsidR="00DC5CD9" w:rsidRDefault="00DC5CD9" w:rsidP="002F5042">
      <w:pPr>
        <w:pStyle w:val="CACCorps"/>
      </w:pPr>
    </w:p>
    <w:p w:rsidR="00DC5CD9" w:rsidRDefault="00DC5CD9" w:rsidP="00DC5CD9">
      <w:pPr>
        <w:pStyle w:val="CACCorps"/>
      </w:pPr>
      <w:r>
        <w:t>Aucun</w:t>
      </w:r>
    </w:p>
    <w:p w:rsidR="00DC5CD9" w:rsidRDefault="00DC5CD9" w:rsidP="002F5042">
      <w:pPr>
        <w:pStyle w:val="CACCorps"/>
      </w:pPr>
    </w:p>
    <w:p w:rsidR="00DC5CD9" w:rsidRDefault="00DC5CD9" w:rsidP="005F7220">
      <w:pPr>
        <w:pStyle w:val="CACTitre2"/>
        <w:numPr>
          <w:ilvl w:val="1"/>
          <w:numId w:val="7"/>
        </w:numPr>
      </w:pPr>
      <w:bookmarkStart w:id="98" w:name="_Toc459896364"/>
      <w:r>
        <w:t>Normes et interprétations liées</w:t>
      </w:r>
      <w:bookmarkEnd w:id="98"/>
    </w:p>
    <w:p w:rsidR="00DC5CD9" w:rsidRDefault="00DC5CD9" w:rsidP="00DC5CD9">
      <w:pPr>
        <w:pStyle w:val="CACCorps"/>
      </w:pPr>
    </w:p>
    <w:p w:rsidR="00DC5CD9" w:rsidRPr="007A160A" w:rsidRDefault="00DC5CD9" w:rsidP="005F7220">
      <w:pPr>
        <w:pStyle w:val="Paragraphedeliste"/>
        <w:numPr>
          <w:ilvl w:val="0"/>
          <w:numId w:val="10"/>
        </w:numPr>
      </w:pPr>
      <w:r>
        <w:t xml:space="preserve">IAS 21 – </w:t>
      </w:r>
      <w:r w:rsidRPr="007A160A">
        <w:rPr>
          <w:i/>
        </w:rPr>
        <w:t>Conversion des états financiers des entités étrangères</w:t>
      </w:r>
    </w:p>
    <w:p w:rsidR="00DC5CD9" w:rsidRPr="007A160A" w:rsidRDefault="00DC5CD9" w:rsidP="005F7220">
      <w:pPr>
        <w:pStyle w:val="CACCorps"/>
        <w:numPr>
          <w:ilvl w:val="0"/>
          <w:numId w:val="10"/>
        </w:numPr>
        <w:rPr>
          <w:i/>
        </w:rPr>
      </w:pPr>
      <w:r>
        <w:t xml:space="preserve">IAS 39 – </w:t>
      </w:r>
      <w:r w:rsidRPr="007A160A">
        <w:rPr>
          <w:i/>
        </w:rPr>
        <w:t>Instruments financiers : Comptabilisation et Evaluation</w:t>
      </w:r>
    </w:p>
    <w:p w:rsidR="00DC5CD9" w:rsidRDefault="00DC5CD9" w:rsidP="00DC5CD9">
      <w:pPr>
        <w:pStyle w:val="CACCorps"/>
      </w:pPr>
    </w:p>
    <w:p w:rsidR="00DC5CD9" w:rsidRDefault="00DC5CD9" w:rsidP="005F7220">
      <w:pPr>
        <w:pStyle w:val="CACTitre2"/>
        <w:numPr>
          <w:ilvl w:val="1"/>
          <w:numId w:val="7"/>
        </w:numPr>
      </w:pPr>
      <w:bookmarkStart w:id="99" w:name="_Toc459896365"/>
      <w:r>
        <w:t>Rejets IFRIC liés</w:t>
      </w:r>
      <w:bookmarkEnd w:id="99"/>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2"/>
        <w:numPr>
          <w:ilvl w:val="1"/>
          <w:numId w:val="7"/>
        </w:numPr>
      </w:pPr>
      <w:bookmarkStart w:id="100" w:name="_Toc459896366"/>
      <w:r>
        <w:t>Recommandations AMF et Décisions ESMA</w:t>
      </w:r>
      <w:bookmarkEnd w:id="100"/>
    </w:p>
    <w:p w:rsidR="00DC5CD9" w:rsidRDefault="00DC5CD9" w:rsidP="002F5042">
      <w:pPr>
        <w:pStyle w:val="CACCorps"/>
      </w:pPr>
    </w:p>
    <w:p w:rsidR="00DC5CD9" w:rsidRDefault="00DC5CD9" w:rsidP="005F7220">
      <w:pPr>
        <w:pStyle w:val="CACTitre3"/>
        <w:numPr>
          <w:ilvl w:val="2"/>
          <w:numId w:val="7"/>
        </w:numPr>
      </w:pPr>
      <w:bookmarkStart w:id="101" w:name="_Toc459896367"/>
      <w:r>
        <w:t>Recommandations AMF</w:t>
      </w:r>
      <w:bookmarkEnd w:id="101"/>
    </w:p>
    <w:p w:rsidR="00DC5CD9" w:rsidRDefault="00DC5CD9" w:rsidP="00DC5CD9">
      <w:pPr>
        <w:pStyle w:val="CACCorps"/>
      </w:pPr>
    </w:p>
    <w:p w:rsidR="00DC5CD9" w:rsidRDefault="00DC5CD9" w:rsidP="00DC5CD9">
      <w:pPr>
        <w:pStyle w:val="CACCorps"/>
      </w:pPr>
      <w:r>
        <w:t>Aucune</w:t>
      </w:r>
    </w:p>
    <w:p w:rsidR="00C21592" w:rsidRDefault="00C21592">
      <w:pPr>
        <w:jc w:val="left"/>
      </w:pPr>
      <w:r>
        <w:br w:type="page"/>
      </w:r>
    </w:p>
    <w:p w:rsidR="00DC5CD9" w:rsidRDefault="00DC5CD9" w:rsidP="00DC5CD9">
      <w:pPr>
        <w:pStyle w:val="CACCorps"/>
      </w:pPr>
    </w:p>
    <w:p w:rsidR="00DC5CD9" w:rsidRDefault="00DC5CD9" w:rsidP="005F7220">
      <w:pPr>
        <w:pStyle w:val="CACTitre3"/>
        <w:numPr>
          <w:ilvl w:val="2"/>
          <w:numId w:val="7"/>
        </w:numPr>
      </w:pPr>
      <w:bookmarkStart w:id="102" w:name="_Toc459896368"/>
      <w:r>
        <w:t>Décisions ESMA</w:t>
      </w:r>
      <w:bookmarkEnd w:id="102"/>
    </w:p>
    <w:p w:rsidR="00DC5CD9" w:rsidRDefault="00DC5CD9"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759"/>
        <w:gridCol w:w="3036"/>
        <w:gridCol w:w="1335"/>
        <w:gridCol w:w="2164"/>
        <w:gridCol w:w="1861"/>
      </w:tblGrid>
      <w:tr w:rsidR="00DC5CD9" w:rsidRPr="007A160A"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Référence Texte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DATE D'ENTREE EN VIGUEUR</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7A160A" w:rsidRDefault="00DC5CD9" w:rsidP="00DC5CD9">
            <w:pPr>
              <w:jc w:val="center"/>
              <w:rPr>
                <w:rFonts w:eastAsia="Times New Roman" w:cs="Times New Roman"/>
                <w:b/>
                <w:bCs/>
                <w:color w:val="FFFFFF"/>
                <w:sz w:val="18"/>
                <w:szCs w:val="18"/>
                <w:lang w:eastAsia="fr-FR"/>
              </w:rPr>
            </w:pPr>
            <w:r w:rsidRPr="007A160A">
              <w:rPr>
                <w:rFonts w:eastAsia="Times New Roman" w:cs="Times New Roman"/>
                <w:b/>
                <w:bCs/>
                <w:color w:val="FFFFFF"/>
                <w:sz w:val="18"/>
                <w:szCs w:val="18"/>
                <w:lang w:eastAsia="fr-FR"/>
              </w:rPr>
              <w:t>CARACTERE APPLICABLE</w:t>
            </w:r>
          </w:p>
        </w:tc>
      </w:tr>
      <w:tr w:rsidR="00DC5CD9" w:rsidRPr="007A160A" w:rsidTr="00DC5CD9">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Décision</w:t>
            </w:r>
          </w:p>
        </w:tc>
        <w:tc>
          <w:tcPr>
            <w:tcW w:w="0" w:type="auto"/>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left"/>
              <w:rPr>
                <w:rFonts w:eastAsia="Times New Roman" w:cs="Times New Roman"/>
                <w:color w:val="000000"/>
                <w:sz w:val="18"/>
                <w:szCs w:val="18"/>
                <w:lang w:eastAsia="fr-FR"/>
              </w:rPr>
            </w:pPr>
            <w:r w:rsidRPr="007A160A">
              <w:rPr>
                <w:rFonts w:eastAsia="Times New Roman" w:cs="Times New Roman"/>
                <w:color w:val="000000"/>
                <w:sz w:val="18"/>
                <w:szCs w:val="18"/>
                <w:lang w:eastAsia="fr-FR"/>
              </w:rPr>
              <w:t>Couverture de la monnaie de présentation</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EECS/0114-09</w:t>
            </w:r>
          </w:p>
        </w:tc>
        <w:tc>
          <w:tcPr>
            <w:tcW w:w="0" w:type="auto"/>
            <w:tcBorders>
              <w:top w:val="nil"/>
              <w:left w:val="nil"/>
              <w:bottom w:val="single" w:sz="4" w:space="0" w:color="auto"/>
              <w:right w:val="single" w:sz="4" w:space="0" w:color="auto"/>
            </w:tcBorders>
            <w:shd w:val="clear" w:color="auto" w:fill="auto"/>
            <w:noWrap/>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01/01/2012</w:t>
            </w:r>
          </w:p>
        </w:tc>
        <w:tc>
          <w:tcPr>
            <w:tcW w:w="0" w:type="auto"/>
            <w:tcBorders>
              <w:top w:val="nil"/>
              <w:left w:val="nil"/>
              <w:bottom w:val="single" w:sz="4" w:space="0" w:color="auto"/>
              <w:right w:val="single" w:sz="4" w:space="0" w:color="auto"/>
            </w:tcBorders>
            <w:shd w:val="clear" w:color="auto" w:fill="auto"/>
            <w:vAlign w:val="center"/>
            <w:hideMark/>
          </w:tcPr>
          <w:p w:rsidR="00DC5CD9" w:rsidRPr="007A160A" w:rsidRDefault="00DC5CD9" w:rsidP="00DC5CD9">
            <w:pPr>
              <w:jc w:val="center"/>
              <w:rPr>
                <w:rFonts w:eastAsia="Times New Roman" w:cs="Times New Roman"/>
                <w:color w:val="000000"/>
                <w:sz w:val="18"/>
                <w:szCs w:val="18"/>
                <w:lang w:eastAsia="fr-FR"/>
              </w:rPr>
            </w:pPr>
            <w:r w:rsidRPr="007A160A">
              <w:rPr>
                <w:rFonts w:eastAsia="Times New Roman" w:cs="Times New Roman"/>
                <w:color w:val="000000"/>
                <w:sz w:val="18"/>
                <w:szCs w:val="18"/>
                <w:lang w:eastAsia="fr-FR"/>
              </w:rPr>
              <w:t>En vigueur</w:t>
            </w:r>
          </w:p>
        </w:tc>
      </w:tr>
    </w:tbl>
    <w:p w:rsidR="00DC5CD9" w:rsidRDefault="00DC5CD9" w:rsidP="00DC5CD9">
      <w:pPr>
        <w:pStyle w:val="CACCorps"/>
      </w:pPr>
    </w:p>
    <w:p w:rsidR="00DC5CD9" w:rsidRDefault="00DC5CD9" w:rsidP="005F7220">
      <w:pPr>
        <w:pStyle w:val="CACTitre2"/>
        <w:numPr>
          <w:ilvl w:val="1"/>
          <w:numId w:val="7"/>
        </w:numPr>
      </w:pPr>
      <w:bookmarkStart w:id="103" w:name="_Toc459896369"/>
      <w:r>
        <w:t>Rappels sur l’interprétation</w:t>
      </w:r>
      <w:bookmarkEnd w:id="103"/>
    </w:p>
    <w:p w:rsidR="00DC5CD9" w:rsidRDefault="00DC5CD9" w:rsidP="002F5042">
      <w:pPr>
        <w:pStyle w:val="CACCorps"/>
      </w:pPr>
    </w:p>
    <w:p w:rsidR="00DC5CD9" w:rsidRDefault="00DC5CD9" w:rsidP="002F5042">
      <w:pPr>
        <w:pStyle w:val="CACCorps"/>
      </w:pPr>
    </w:p>
    <w:p w:rsidR="00DC5CD9" w:rsidRDefault="00DC5CD9" w:rsidP="005F7220">
      <w:pPr>
        <w:pStyle w:val="CACTitre2"/>
        <w:numPr>
          <w:ilvl w:val="1"/>
          <w:numId w:val="7"/>
        </w:numPr>
      </w:pPr>
      <w:bookmarkStart w:id="104" w:name="_Toc459896370"/>
      <w:r>
        <w:t>Ressources mises à disposition</w:t>
      </w:r>
      <w:bookmarkEnd w:id="104"/>
    </w:p>
    <w:p w:rsidR="00DC5CD9" w:rsidRDefault="00DC5CD9" w:rsidP="00DC5CD9">
      <w:pPr>
        <w:pStyle w:val="CACCorps"/>
      </w:pPr>
    </w:p>
    <w:p w:rsidR="00DC5CD9" w:rsidRDefault="00DC5CD9" w:rsidP="00F549E8">
      <w:pPr>
        <w:pStyle w:val="CACTitre1"/>
      </w:pPr>
      <w:bookmarkStart w:id="105" w:name="_Toc459896371"/>
      <w:r>
        <w:t>SIC 7 – Introduction de l’euro</w:t>
      </w:r>
      <w:bookmarkEnd w:id="105"/>
    </w:p>
    <w:p w:rsidR="00DC5CD9" w:rsidRDefault="00DC5CD9" w:rsidP="002F5042">
      <w:pPr>
        <w:pStyle w:val="CACCorps"/>
      </w:pPr>
    </w:p>
    <w:p w:rsidR="00DC5CD9" w:rsidRDefault="00DC5CD9" w:rsidP="005F7220">
      <w:pPr>
        <w:pStyle w:val="CACTitre2"/>
        <w:numPr>
          <w:ilvl w:val="1"/>
          <w:numId w:val="7"/>
        </w:numPr>
      </w:pPr>
      <w:bookmarkStart w:id="106" w:name="_Toc459896372"/>
      <w:r>
        <w:t>Historique</w:t>
      </w:r>
      <w:bookmarkEnd w:id="106"/>
    </w:p>
    <w:p w:rsidR="00DC5CD9" w:rsidRDefault="00DC5CD9" w:rsidP="002F5042">
      <w:pPr>
        <w:pStyle w:val="CACCorps"/>
      </w:pPr>
    </w:p>
    <w:p w:rsidR="00DC5CD9" w:rsidRDefault="00DC5CD9" w:rsidP="005F7220">
      <w:pPr>
        <w:pStyle w:val="CACTitre3"/>
        <w:numPr>
          <w:ilvl w:val="2"/>
          <w:numId w:val="7"/>
        </w:numPr>
      </w:pPr>
      <w:bookmarkStart w:id="107" w:name="_Toc459896373"/>
      <w:r>
        <w:t>Historique au niveau de l’Union européenne</w:t>
      </w:r>
      <w:bookmarkEnd w:id="107"/>
    </w:p>
    <w:p w:rsidR="00DC5CD9" w:rsidRDefault="00DC5CD9"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1544"/>
        <w:gridCol w:w="1247"/>
        <w:gridCol w:w="1272"/>
        <w:gridCol w:w="1331"/>
        <w:gridCol w:w="1246"/>
        <w:gridCol w:w="1304"/>
        <w:gridCol w:w="1211"/>
      </w:tblGrid>
      <w:tr w:rsidR="00DC5CD9" w:rsidRPr="003F6F31"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CARACTERE APPLICABLE</w:t>
            </w:r>
          </w:p>
        </w:tc>
      </w:tr>
      <w:tr w:rsidR="00DC5CD9" w:rsidRPr="003F6F31" w:rsidTr="00DC5CD9">
        <w:trPr>
          <w:trHeight w:val="3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Interprétation</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Introduction de l'euro</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01/05/1998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01/06/1998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29/09/2003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16/10/2003</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r w:rsidR="00DC5CD9" w:rsidRPr="003F6F31"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Suite à la révision d'IAS 21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18/12/2003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29/12/2004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r w:rsidR="00DC5CD9" w:rsidRPr="003F6F31"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Suite à la révision d'IAS 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06/09/2007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17/12/2008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bl>
    <w:p w:rsidR="00DC5CD9" w:rsidRDefault="00DC5CD9" w:rsidP="002F5042">
      <w:pPr>
        <w:pStyle w:val="CACCorps"/>
      </w:pPr>
    </w:p>
    <w:p w:rsidR="00DC5CD9" w:rsidRDefault="00DC5CD9" w:rsidP="005F7220">
      <w:pPr>
        <w:pStyle w:val="CACTitre3"/>
        <w:numPr>
          <w:ilvl w:val="2"/>
          <w:numId w:val="7"/>
        </w:numPr>
      </w:pPr>
      <w:bookmarkStart w:id="108" w:name="_Toc459896374"/>
      <w:r>
        <w:t>Textes en cours d’adoption par la Communauté européenne</w:t>
      </w:r>
      <w:bookmarkEnd w:id="108"/>
    </w:p>
    <w:p w:rsidR="00DC5CD9" w:rsidRDefault="00DC5CD9" w:rsidP="002F5042">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7"/>
        </w:numPr>
      </w:pPr>
      <w:bookmarkStart w:id="109" w:name="_Toc459896375"/>
      <w:r>
        <w:t>Textes en cours d’adoption par l’IASB</w:t>
      </w:r>
      <w:bookmarkEnd w:id="109"/>
    </w:p>
    <w:p w:rsidR="00DC5CD9" w:rsidRDefault="00DC5CD9" w:rsidP="002F5042">
      <w:pPr>
        <w:pStyle w:val="CACCorps"/>
      </w:pPr>
    </w:p>
    <w:p w:rsidR="00DC5CD9" w:rsidRDefault="00DC5CD9" w:rsidP="00DC5CD9">
      <w:pPr>
        <w:pStyle w:val="CACCorps"/>
      </w:pPr>
      <w:r>
        <w:t>Aucun</w:t>
      </w:r>
    </w:p>
    <w:p w:rsidR="00DC5CD9" w:rsidRDefault="00DC5CD9" w:rsidP="005F7220">
      <w:pPr>
        <w:pStyle w:val="CACTitre3"/>
        <w:numPr>
          <w:ilvl w:val="2"/>
          <w:numId w:val="7"/>
        </w:numPr>
      </w:pPr>
      <w:bookmarkStart w:id="110" w:name="_Toc459896376"/>
      <w:r>
        <w:t>Projets IASB</w:t>
      </w:r>
      <w:bookmarkEnd w:id="110"/>
    </w:p>
    <w:p w:rsidR="00DC5CD9" w:rsidRDefault="00DC5CD9" w:rsidP="002F5042">
      <w:pPr>
        <w:pStyle w:val="CACCorps"/>
      </w:pPr>
    </w:p>
    <w:p w:rsidR="00DC5CD9" w:rsidRDefault="00DC5CD9" w:rsidP="00DC5CD9">
      <w:pPr>
        <w:pStyle w:val="CACCorps"/>
      </w:pPr>
      <w:r>
        <w:t>Aucun</w:t>
      </w:r>
    </w:p>
    <w:p w:rsidR="00DC5CD9" w:rsidRDefault="00DC5CD9" w:rsidP="002F5042">
      <w:pPr>
        <w:pStyle w:val="CACCorps"/>
      </w:pPr>
    </w:p>
    <w:p w:rsidR="00DC5CD9" w:rsidRDefault="00DC5CD9" w:rsidP="005F7220">
      <w:pPr>
        <w:pStyle w:val="CACTitre2"/>
        <w:numPr>
          <w:ilvl w:val="1"/>
          <w:numId w:val="7"/>
        </w:numPr>
      </w:pPr>
      <w:bookmarkStart w:id="111" w:name="_Toc459896377"/>
      <w:r>
        <w:t>Normes et interprétations liées</w:t>
      </w:r>
      <w:bookmarkEnd w:id="111"/>
    </w:p>
    <w:p w:rsidR="00DC5CD9" w:rsidRDefault="00DC5CD9" w:rsidP="002F5042">
      <w:pPr>
        <w:pStyle w:val="CACCorps"/>
      </w:pPr>
    </w:p>
    <w:p w:rsidR="00DC5CD9" w:rsidRDefault="00DC5CD9" w:rsidP="005F7220">
      <w:pPr>
        <w:pStyle w:val="CACCorps"/>
        <w:numPr>
          <w:ilvl w:val="0"/>
          <w:numId w:val="11"/>
        </w:numPr>
      </w:pPr>
      <w:r>
        <w:t xml:space="preserve">IAS 8 – </w:t>
      </w:r>
      <w:r w:rsidRPr="007A160A">
        <w:rPr>
          <w:i/>
        </w:rPr>
        <w:t xml:space="preserve">Méthodes comptables, changements comptables et erreurs </w:t>
      </w:r>
    </w:p>
    <w:p w:rsidR="00DC5CD9" w:rsidRDefault="00DC5CD9" w:rsidP="005F7220">
      <w:pPr>
        <w:pStyle w:val="CACCorps"/>
        <w:numPr>
          <w:ilvl w:val="0"/>
          <w:numId w:val="11"/>
        </w:numPr>
      </w:pPr>
      <w:r>
        <w:t xml:space="preserve">IAS 10 – </w:t>
      </w:r>
      <w:r w:rsidRPr="007A160A">
        <w:rPr>
          <w:i/>
        </w:rPr>
        <w:t>Evènements postérieurs à la clôture</w:t>
      </w:r>
    </w:p>
    <w:p w:rsidR="00DC5CD9" w:rsidRPr="007A160A" w:rsidRDefault="00DC5CD9" w:rsidP="005F7220">
      <w:pPr>
        <w:pStyle w:val="CACCorps"/>
        <w:numPr>
          <w:ilvl w:val="0"/>
          <w:numId w:val="11"/>
        </w:numPr>
      </w:pPr>
      <w:r>
        <w:t xml:space="preserve">IAS 21 – </w:t>
      </w:r>
      <w:r w:rsidRPr="007A160A">
        <w:rPr>
          <w:i/>
        </w:rPr>
        <w:t>Conversion des états financiers des entités étrangères</w:t>
      </w:r>
    </w:p>
    <w:p w:rsidR="00DC5CD9" w:rsidRDefault="00DC5CD9" w:rsidP="00DC5CD9">
      <w:pPr>
        <w:pStyle w:val="CACCorps"/>
      </w:pPr>
    </w:p>
    <w:p w:rsidR="00DC5CD9" w:rsidRDefault="00DC5CD9" w:rsidP="005F7220">
      <w:pPr>
        <w:pStyle w:val="CACTitre2"/>
        <w:numPr>
          <w:ilvl w:val="1"/>
          <w:numId w:val="7"/>
        </w:numPr>
      </w:pPr>
      <w:bookmarkStart w:id="112" w:name="_Toc459896378"/>
      <w:r>
        <w:t>Rejets IFRIC liés</w:t>
      </w:r>
      <w:bookmarkEnd w:id="112"/>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2"/>
        <w:numPr>
          <w:ilvl w:val="1"/>
          <w:numId w:val="7"/>
        </w:numPr>
      </w:pPr>
      <w:bookmarkStart w:id="113" w:name="_Toc459896379"/>
      <w:r>
        <w:t>Recommandations AMF et Décisions ESMA</w:t>
      </w:r>
      <w:bookmarkEnd w:id="113"/>
    </w:p>
    <w:p w:rsidR="00DC5CD9" w:rsidRDefault="00DC5CD9" w:rsidP="00DC5CD9">
      <w:pPr>
        <w:pStyle w:val="CACCorps"/>
      </w:pPr>
    </w:p>
    <w:p w:rsidR="00DC5CD9" w:rsidRDefault="00DC5CD9" w:rsidP="005F7220">
      <w:pPr>
        <w:pStyle w:val="CACTitre3"/>
        <w:numPr>
          <w:ilvl w:val="2"/>
          <w:numId w:val="7"/>
        </w:numPr>
      </w:pPr>
      <w:bookmarkStart w:id="114" w:name="_Toc459896380"/>
      <w:r>
        <w:t>Recommandations AMF</w:t>
      </w:r>
      <w:bookmarkEnd w:id="114"/>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3"/>
        <w:numPr>
          <w:ilvl w:val="2"/>
          <w:numId w:val="7"/>
        </w:numPr>
      </w:pPr>
      <w:bookmarkStart w:id="115" w:name="_Toc459896381"/>
      <w:r>
        <w:t>Décisions ESMA</w:t>
      </w:r>
      <w:bookmarkEnd w:id="115"/>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2"/>
        <w:numPr>
          <w:ilvl w:val="1"/>
          <w:numId w:val="7"/>
        </w:numPr>
      </w:pPr>
      <w:bookmarkStart w:id="116" w:name="_Toc459896382"/>
      <w:r>
        <w:t>Rappels sur l’interprétation</w:t>
      </w:r>
      <w:bookmarkEnd w:id="116"/>
    </w:p>
    <w:p w:rsidR="00DC5CD9" w:rsidRDefault="00DC5CD9" w:rsidP="002F5042">
      <w:pPr>
        <w:pStyle w:val="CACCorps"/>
      </w:pPr>
    </w:p>
    <w:p w:rsidR="00DC5CD9" w:rsidRDefault="00DC5CD9" w:rsidP="002F5042">
      <w:pPr>
        <w:pStyle w:val="CACCorps"/>
      </w:pPr>
    </w:p>
    <w:p w:rsidR="00DC5CD9" w:rsidRDefault="00DC5CD9" w:rsidP="005F7220">
      <w:pPr>
        <w:pStyle w:val="CACTitre2"/>
        <w:numPr>
          <w:ilvl w:val="1"/>
          <w:numId w:val="7"/>
        </w:numPr>
      </w:pPr>
      <w:bookmarkStart w:id="117" w:name="_Toc459896383"/>
      <w:r>
        <w:t>Ressources mises à disposition</w:t>
      </w:r>
      <w:bookmarkEnd w:id="117"/>
    </w:p>
    <w:p w:rsidR="00DC5CD9" w:rsidRDefault="00DC5CD9" w:rsidP="002F5042">
      <w:pPr>
        <w:pStyle w:val="CACCorps"/>
      </w:pPr>
    </w:p>
    <w:p w:rsidR="00DC5CD9" w:rsidRDefault="00DC5CD9" w:rsidP="002F5042">
      <w:pPr>
        <w:pStyle w:val="CACCorps"/>
      </w:pPr>
    </w:p>
    <w:p w:rsidR="00DC5CD9" w:rsidRDefault="00DC5CD9" w:rsidP="00F549E8">
      <w:pPr>
        <w:pStyle w:val="CACTitre1"/>
        <w:numPr>
          <w:ilvl w:val="0"/>
          <w:numId w:val="26"/>
        </w:numPr>
      </w:pPr>
      <w:bookmarkStart w:id="118" w:name="_Toc459896384"/>
      <w:r>
        <w:t>IAS 29 – Information financière dans les economies hyperinflationnistes</w:t>
      </w:r>
      <w:bookmarkEnd w:id="118"/>
    </w:p>
    <w:p w:rsidR="00DC5CD9" w:rsidRPr="00DD09B7" w:rsidRDefault="00DC5CD9" w:rsidP="00DC5CD9"/>
    <w:p w:rsidR="00DC5CD9" w:rsidRDefault="00DC5CD9" w:rsidP="005F7220">
      <w:pPr>
        <w:pStyle w:val="CACTitre2"/>
        <w:numPr>
          <w:ilvl w:val="1"/>
          <w:numId w:val="5"/>
        </w:numPr>
      </w:pPr>
      <w:bookmarkStart w:id="119" w:name="_Toc459896385"/>
      <w:r>
        <w:t>Historique</w:t>
      </w:r>
      <w:bookmarkEnd w:id="119"/>
    </w:p>
    <w:p w:rsidR="00DC5CD9" w:rsidRDefault="00DC5CD9" w:rsidP="00DC5CD9">
      <w:pPr>
        <w:pStyle w:val="CACCorps"/>
      </w:pPr>
    </w:p>
    <w:p w:rsidR="00DC5CD9" w:rsidRDefault="00DC5CD9" w:rsidP="005F7220">
      <w:pPr>
        <w:pStyle w:val="CACTitre3"/>
        <w:numPr>
          <w:ilvl w:val="2"/>
          <w:numId w:val="5"/>
        </w:numPr>
      </w:pPr>
      <w:bookmarkStart w:id="120" w:name="_Toc459896386"/>
      <w:r>
        <w:t>Historique au niveau de l’Union européenne</w:t>
      </w:r>
      <w:bookmarkEnd w:id="120"/>
    </w:p>
    <w:p w:rsidR="00DC5CD9" w:rsidRDefault="00DC5CD9"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1358"/>
        <w:gridCol w:w="1952"/>
        <w:gridCol w:w="1196"/>
        <w:gridCol w:w="1177"/>
        <w:gridCol w:w="1182"/>
        <w:gridCol w:w="1163"/>
        <w:gridCol w:w="1127"/>
      </w:tblGrid>
      <w:tr w:rsidR="00DC5CD9" w:rsidRPr="001847A8" w:rsidTr="00DC5CD9">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1847A8" w:rsidRDefault="00DC5CD9" w:rsidP="00DC5CD9">
            <w:pPr>
              <w:jc w:val="center"/>
              <w:rPr>
                <w:rFonts w:eastAsia="Times New Roman" w:cs="Times New Roman"/>
                <w:b/>
                <w:bCs/>
                <w:color w:val="FFFFFF"/>
                <w:sz w:val="18"/>
                <w:szCs w:val="18"/>
                <w:lang w:eastAsia="fr-FR"/>
              </w:rPr>
            </w:pPr>
            <w:r w:rsidRPr="001847A8">
              <w:rPr>
                <w:rFonts w:eastAsia="Times New Roman" w:cs="Times New Roman"/>
                <w:b/>
                <w:bCs/>
                <w:color w:val="FFFFFF"/>
                <w:sz w:val="18"/>
                <w:szCs w:val="18"/>
                <w:lang w:eastAsia="fr-FR"/>
              </w:rPr>
              <w:t>CARACTERE APPLICABLE</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Norme</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Information financière dans les économies hyperinflationnistes</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01/07/1989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01/01/1990</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29/09/2003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16/10/2003</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 révision d'IAS 21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18/12/2003</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29/12/2004</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01/01/2005</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Suite à la révision d'IAS 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06/09/2007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17/12/2008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Améliorations Annuelles 2006-2008</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Description des états financiers sur la base du coût historique</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22/05/2008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23/01/2009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r w:rsidR="00DC5CD9" w:rsidRPr="001847A8"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Améliorations Annuelles 2006-2008</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left"/>
              <w:rPr>
                <w:rFonts w:eastAsia="Times New Roman" w:cs="Times New Roman"/>
                <w:color w:val="000000"/>
                <w:sz w:val="18"/>
                <w:szCs w:val="18"/>
                <w:lang w:eastAsia="fr-FR"/>
              </w:rPr>
            </w:pPr>
            <w:r w:rsidRPr="001847A8">
              <w:rPr>
                <w:rFonts w:eastAsia="Times New Roman" w:cs="Times New Roman"/>
                <w:color w:val="000000"/>
                <w:sz w:val="18"/>
                <w:szCs w:val="18"/>
                <w:lang w:eastAsia="fr-FR"/>
              </w:rPr>
              <w:t>Modifications terminologiques. Insertion d'une note de bas de page</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22/05/2008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23/01/2009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1847A8" w:rsidRDefault="00DC5CD9" w:rsidP="00DC5CD9">
            <w:pPr>
              <w:jc w:val="center"/>
              <w:rPr>
                <w:rFonts w:eastAsia="Times New Roman" w:cs="Times New Roman"/>
                <w:color w:val="000000"/>
                <w:sz w:val="18"/>
                <w:szCs w:val="18"/>
                <w:lang w:eastAsia="fr-FR"/>
              </w:rPr>
            </w:pPr>
            <w:r w:rsidRPr="001847A8">
              <w:rPr>
                <w:rFonts w:eastAsia="Times New Roman" w:cs="Times New Roman"/>
                <w:color w:val="000000"/>
                <w:sz w:val="18"/>
                <w:szCs w:val="18"/>
                <w:lang w:eastAsia="fr-FR"/>
              </w:rPr>
              <w:t>En vigueur</w:t>
            </w:r>
          </w:p>
        </w:tc>
      </w:tr>
    </w:tbl>
    <w:p w:rsidR="00DC5CD9" w:rsidRDefault="00DC5CD9" w:rsidP="002F5042">
      <w:pPr>
        <w:pStyle w:val="CACCorps"/>
      </w:pPr>
    </w:p>
    <w:p w:rsidR="00DC5CD9" w:rsidRDefault="00DC5CD9" w:rsidP="005F7220">
      <w:pPr>
        <w:pStyle w:val="CACTitre3"/>
        <w:numPr>
          <w:ilvl w:val="2"/>
          <w:numId w:val="5"/>
        </w:numPr>
      </w:pPr>
      <w:bookmarkStart w:id="121" w:name="_Toc459896387"/>
      <w:r>
        <w:t>Textes en cours d’adoption par la Communauté européenne</w:t>
      </w:r>
      <w:bookmarkEnd w:id="121"/>
    </w:p>
    <w:p w:rsidR="00DC5CD9" w:rsidRDefault="00DC5CD9" w:rsidP="002F5042">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5"/>
        </w:numPr>
      </w:pPr>
      <w:bookmarkStart w:id="122" w:name="_Toc459896388"/>
      <w:r>
        <w:t>Textes en cours d’adoption par l’IASB</w:t>
      </w:r>
      <w:bookmarkEnd w:id="122"/>
    </w:p>
    <w:p w:rsidR="00DC5CD9" w:rsidRDefault="00DC5CD9" w:rsidP="002F5042">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5"/>
        </w:numPr>
      </w:pPr>
      <w:bookmarkStart w:id="123" w:name="_Toc459896389"/>
      <w:r>
        <w:t>Projets IASB</w:t>
      </w:r>
      <w:bookmarkEnd w:id="123"/>
    </w:p>
    <w:p w:rsidR="00DC5CD9" w:rsidRDefault="00DC5CD9" w:rsidP="002F5042">
      <w:pPr>
        <w:pStyle w:val="CACCorps"/>
      </w:pPr>
    </w:p>
    <w:p w:rsidR="00DC5CD9" w:rsidRDefault="00DC5CD9" w:rsidP="00DC5CD9">
      <w:pPr>
        <w:pStyle w:val="CACCorps"/>
      </w:pPr>
      <w:r>
        <w:t>Aucun</w:t>
      </w:r>
    </w:p>
    <w:p w:rsidR="00DC5CD9" w:rsidRDefault="00DC5CD9" w:rsidP="002F5042">
      <w:pPr>
        <w:pStyle w:val="CACCorps"/>
      </w:pPr>
    </w:p>
    <w:p w:rsidR="00DC5CD9" w:rsidRDefault="00DC5CD9" w:rsidP="005F7220">
      <w:pPr>
        <w:pStyle w:val="CACTitre2"/>
        <w:numPr>
          <w:ilvl w:val="1"/>
          <w:numId w:val="5"/>
        </w:numPr>
      </w:pPr>
      <w:bookmarkStart w:id="124" w:name="_Toc459896390"/>
      <w:r>
        <w:t>Normes et interprétations liées</w:t>
      </w:r>
      <w:bookmarkEnd w:id="124"/>
    </w:p>
    <w:p w:rsidR="00DC5CD9" w:rsidRDefault="00DC5CD9" w:rsidP="00DC5CD9">
      <w:pPr>
        <w:pStyle w:val="CACCorps"/>
      </w:pPr>
    </w:p>
    <w:p w:rsidR="00DC5CD9" w:rsidRDefault="00DC5CD9" w:rsidP="005F7220">
      <w:pPr>
        <w:pStyle w:val="CACCorps"/>
        <w:numPr>
          <w:ilvl w:val="0"/>
          <w:numId w:val="12"/>
        </w:numPr>
      </w:pPr>
      <w:r>
        <w:t xml:space="preserve">SIC 30 – </w:t>
      </w:r>
      <w:r w:rsidRPr="00C2318D">
        <w:rPr>
          <w:i/>
        </w:rPr>
        <w:t>Monnaie de présentation des états financiers - Passage de la monnaie d'évaluation à la monnaie de présentation</w:t>
      </w:r>
      <w:r>
        <w:t>. Cette interprétation a été abrogée avec la révision d’IAS 21</w:t>
      </w:r>
    </w:p>
    <w:p w:rsidR="00DC5CD9" w:rsidRDefault="00DC5CD9" w:rsidP="005F7220">
      <w:pPr>
        <w:pStyle w:val="CACCorps"/>
        <w:numPr>
          <w:ilvl w:val="0"/>
          <w:numId w:val="12"/>
        </w:numPr>
      </w:pPr>
      <w:r>
        <w:t xml:space="preserve">SIC 19 – </w:t>
      </w:r>
      <w:r w:rsidRPr="00C2318D">
        <w:rPr>
          <w:i/>
        </w:rPr>
        <w:t>Monnaie de présentation - Évaluation et présentation des états financiers selon IAS 21 et IAS 29</w:t>
      </w:r>
      <w:r>
        <w:t>. Cette interprétation a été abrogée avec la révision d’IAS 21</w:t>
      </w:r>
    </w:p>
    <w:p w:rsidR="00DC5CD9" w:rsidRDefault="00DC5CD9" w:rsidP="005F7220">
      <w:pPr>
        <w:pStyle w:val="CACCorps"/>
        <w:numPr>
          <w:ilvl w:val="0"/>
          <w:numId w:val="12"/>
        </w:numPr>
      </w:pPr>
      <w:r>
        <w:t xml:space="preserve">IFRIC 7 – </w:t>
      </w:r>
      <w:r w:rsidRPr="00DC41F1">
        <w:rPr>
          <w:i/>
        </w:rPr>
        <w:t>Application de l’approche du retraitement dans le cadre d’IAS 29 Information financière dans les économies hyperinflationnistes</w:t>
      </w:r>
    </w:p>
    <w:p w:rsidR="00DC5CD9" w:rsidRDefault="00DC5CD9" w:rsidP="00DC5CD9">
      <w:pPr>
        <w:pStyle w:val="CACCorps"/>
      </w:pPr>
    </w:p>
    <w:p w:rsidR="00DC5CD9" w:rsidRDefault="00DC5CD9" w:rsidP="005F7220">
      <w:pPr>
        <w:pStyle w:val="CACTitre2"/>
        <w:numPr>
          <w:ilvl w:val="1"/>
          <w:numId w:val="5"/>
        </w:numPr>
      </w:pPr>
      <w:bookmarkStart w:id="125" w:name="_Toc459896391"/>
      <w:r>
        <w:t>Rejets IFRIC liés</w:t>
      </w:r>
      <w:bookmarkEnd w:id="125"/>
    </w:p>
    <w:p w:rsidR="00DC5CD9" w:rsidRDefault="00DC5CD9" w:rsidP="00DC5CD9">
      <w:pPr>
        <w:pStyle w:val="CACCorps"/>
      </w:pPr>
    </w:p>
    <w:tbl>
      <w:tblPr>
        <w:tblW w:w="9480" w:type="dxa"/>
        <w:tblInd w:w="55" w:type="dxa"/>
        <w:tblCellMar>
          <w:left w:w="70" w:type="dxa"/>
          <w:right w:w="70" w:type="dxa"/>
        </w:tblCellMar>
        <w:tblLook w:val="04A0" w:firstRow="1" w:lastRow="0" w:firstColumn="1" w:lastColumn="0" w:noHBand="0" w:noVBand="1"/>
      </w:tblPr>
      <w:tblGrid>
        <w:gridCol w:w="2280"/>
        <w:gridCol w:w="5360"/>
        <w:gridCol w:w="1840"/>
      </w:tblGrid>
      <w:tr w:rsidR="00DC5CD9" w:rsidRPr="00DC41F1" w:rsidTr="00DC5CD9">
        <w:trPr>
          <w:trHeight w:val="300"/>
        </w:trPr>
        <w:tc>
          <w:tcPr>
            <w:tcW w:w="2280" w:type="dxa"/>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DC41F1" w:rsidRDefault="00DC5CD9" w:rsidP="00DC5CD9">
            <w:pPr>
              <w:jc w:val="center"/>
              <w:rPr>
                <w:rFonts w:eastAsia="Times New Roman" w:cs="Times New Roman"/>
                <w:b/>
                <w:bCs/>
                <w:color w:val="FFFFFF"/>
                <w:lang w:eastAsia="fr-FR"/>
              </w:rPr>
            </w:pPr>
            <w:r w:rsidRPr="00DC41F1">
              <w:rPr>
                <w:rFonts w:eastAsia="Times New Roman" w:cs="Times New Roman"/>
                <w:b/>
                <w:bCs/>
                <w:color w:val="FFFFFF"/>
                <w:lang w:eastAsia="fr-FR"/>
              </w:rPr>
              <w:t>TYPE</w:t>
            </w:r>
          </w:p>
        </w:tc>
        <w:tc>
          <w:tcPr>
            <w:tcW w:w="5360" w:type="dxa"/>
            <w:tcBorders>
              <w:top w:val="single" w:sz="4" w:space="0" w:color="auto"/>
              <w:left w:val="nil"/>
              <w:bottom w:val="single" w:sz="4" w:space="0" w:color="auto"/>
              <w:right w:val="single" w:sz="4" w:space="0" w:color="auto"/>
            </w:tcBorders>
            <w:shd w:val="clear" w:color="000000" w:fill="7030A0"/>
            <w:vAlign w:val="center"/>
            <w:hideMark/>
          </w:tcPr>
          <w:p w:rsidR="00DC5CD9" w:rsidRPr="00DC41F1" w:rsidRDefault="00DC5CD9" w:rsidP="00DC5CD9">
            <w:pPr>
              <w:jc w:val="center"/>
              <w:rPr>
                <w:rFonts w:eastAsia="Times New Roman" w:cs="Times New Roman"/>
                <w:b/>
                <w:bCs/>
                <w:color w:val="FFFFFF"/>
                <w:lang w:eastAsia="fr-FR"/>
              </w:rPr>
            </w:pPr>
            <w:r w:rsidRPr="00DC41F1">
              <w:rPr>
                <w:rFonts w:eastAsia="Times New Roman" w:cs="Times New Roman"/>
                <w:b/>
                <w:bCs/>
                <w:color w:val="FFFFFF"/>
                <w:lang w:eastAsia="fr-FR"/>
              </w:rPr>
              <w:t>TITRE</w:t>
            </w:r>
          </w:p>
        </w:tc>
        <w:tc>
          <w:tcPr>
            <w:tcW w:w="1840" w:type="dxa"/>
            <w:tcBorders>
              <w:top w:val="single" w:sz="4" w:space="0" w:color="auto"/>
              <w:left w:val="nil"/>
              <w:bottom w:val="single" w:sz="4" w:space="0" w:color="auto"/>
              <w:right w:val="single" w:sz="4" w:space="0" w:color="auto"/>
            </w:tcBorders>
            <w:shd w:val="clear" w:color="000000" w:fill="7030A0"/>
            <w:vAlign w:val="center"/>
            <w:hideMark/>
          </w:tcPr>
          <w:p w:rsidR="00DC5CD9" w:rsidRPr="00DC41F1" w:rsidRDefault="00DC5CD9" w:rsidP="00DC5CD9">
            <w:pPr>
              <w:jc w:val="center"/>
              <w:rPr>
                <w:rFonts w:eastAsia="Times New Roman" w:cs="Times New Roman"/>
                <w:b/>
                <w:bCs/>
                <w:color w:val="FFFFFF"/>
                <w:lang w:eastAsia="fr-FR"/>
              </w:rPr>
            </w:pPr>
            <w:r w:rsidRPr="00DC41F1">
              <w:rPr>
                <w:rFonts w:eastAsia="Times New Roman" w:cs="Times New Roman"/>
                <w:b/>
                <w:bCs/>
                <w:color w:val="FFFFFF"/>
                <w:lang w:eastAsia="fr-FR"/>
              </w:rPr>
              <w:t>Date de décision</w:t>
            </w:r>
          </w:p>
        </w:tc>
      </w:tr>
      <w:tr w:rsidR="00DC5CD9" w:rsidRPr="00DC41F1" w:rsidTr="00DC5CD9">
        <w:trPr>
          <w:trHeight w:val="900"/>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DC5CD9" w:rsidRPr="00DC41F1" w:rsidRDefault="00DC5CD9" w:rsidP="00DC5CD9">
            <w:pPr>
              <w:jc w:val="center"/>
              <w:rPr>
                <w:rFonts w:eastAsia="Times New Roman" w:cs="Times New Roman"/>
                <w:color w:val="000000"/>
                <w:lang w:eastAsia="fr-FR"/>
              </w:rPr>
            </w:pPr>
            <w:r w:rsidRPr="00DC41F1">
              <w:rPr>
                <w:rFonts w:eastAsia="Times New Roman" w:cs="Times New Roman"/>
                <w:color w:val="000000"/>
                <w:lang w:eastAsia="fr-FR"/>
              </w:rPr>
              <w:t>Rejet</w:t>
            </w:r>
          </w:p>
        </w:tc>
        <w:tc>
          <w:tcPr>
            <w:tcW w:w="5360" w:type="dxa"/>
            <w:tcBorders>
              <w:top w:val="nil"/>
              <w:left w:val="nil"/>
              <w:bottom w:val="single" w:sz="4" w:space="0" w:color="auto"/>
              <w:right w:val="single" w:sz="4" w:space="0" w:color="auto"/>
            </w:tcBorders>
            <w:shd w:val="clear" w:color="auto" w:fill="auto"/>
            <w:vAlign w:val="center"/>
            <w:hideMark/>
          </w:tcPr>
          <w:p w:rsidR="00DC5CD9" w:rsidRPr="00DC41F1" w:rsidRDefault="00DC5CD9" w:rsidP="00DC5CD9">
            <w:pPr>
              <w:jc w:val="left"/>
              <w:rPr>
                <w:rFonts w:eastAsia="Times New Roman" w:cs="Times New Roman"/>
                <w:color w:val="000000"/>
                <w:lang w:eastAsia="fr-FR"/>
              </w:rPr>
            </w:pPr>
            <w:r w:rsidRPr="00DC41F1">
              <w:rPr>
                <w:rFonts w:eastAsia="Times New Roman" w:cs="Times New Roman"/>
                <w:color w:val="000000"/>
                <w:lang w:eastAsia="fr-FR"/>
              </w:rPr>
              <w:t>Caractère applicable du concept de maintien du capital financier en unités de pouvoir d’achat constant du Cadre Conceptuel</w:t>
            </w:r>
          </w:p>
        </w:tc>
        <w:tc>
          <w:tcPr>
            <w:tcW w:w="1840" w:type="dxa"/>
            <w:tcBorders>
              <w:top w:val="nil"/>
              <w:left w:val="nil"/>
              <w:bottom w:val="single" w:sz="4" w:space="0" w:color="auto"/>
              <w:right w:val="single" w:sz="4" w:space="0" w:color="auto"/>
            </w:tcBorders>
            <w:shd w:val="clear" w:color="auto" w:fill="auto"/>
            <w:noWrap/>
            <w:vAlign w:val="center"/>
            <w:hideMark/>
          </w:tcPr>
          <w:p w:rsidR="00DC5CD9" w:rsidRPr="00DC41F1" w:rsidRDefault="00DC5CD9" w:rsidP="00DC5CD9">
            <w:pPr>
              <w:jc w:val="center"/>
              <w:rPr>
                <w:rFonts w:eastAsia="Times New Roman" w:cs="Times New Roman"/>
                <w:color w:val="000000"/>
                <w:lang w:eastAsia="fr-FR"/>
              </w:rPr>
            </w:pPr>
            <w:r w:rsidRPr="00DC41F1">
              <w:rPr>
                <w:rFonts w:eastAsia="Times New Roman" w:cs="Times New Roman"/>
                <w:color w:val="000000"/>
                <w:lang w:eastAsia="fr-FR"/>
              </w:rPr>
              <w:t>14/02/2014</w:t>
            </w:r>
          </w:p>
        </w:tc>
      </w:tr>
    </w:tbl>
    <w:p w:rsidR="00DC5CD9" w:rsidRDefault="00DC5CD9" w:rsidP="00DC5CD9">
      <w:pPr>
        <w:pStyle w:val="CACCorps"/>
      </w:pPr>
    </w:p>
    <w:p w:rsidR="00DC5CD9" w:rsidRDefault="00DC5CD9" w:rsidP="005F7220">
      <w:pPr>
        <w:pStyle w:val="CACTitre2"/>
        <w:numPr>
          <w:ilvl w:val="1"/>
          <w:numId w:val="5"/>
        </w:numPr>
      </w:pPr>
      <w:bookmarkStart w:id="126" w:name="_Toc459896392"/>
      <w:r>
        <w:t>Recommandations AMF et Décisions ESMA</w:t>
      </w:r>
      <w:bookmarkEnd w:id="126"/>
    </w:p>
    <w:p w:rsidR="00DC5CD9" w:rsidRDefault="00DC5CD9" w:rsidP="002F5042">
      <w:pPr>
        <w:pStyle w:val="CACCorps"/>
      </w:pPr>
    </w:p>
    <w:p w:rsidR="00DC5CD9" w:rsidRDefault="00DC5CD9" w:rsidP="005F7220">
      <w:pPr>
        <w:pStyle w:val="CACTitre3"/>
        <w:numPr>
          <w:ilvl w:val="2"/>
          <w:numId w:val="5"/>
        </w:numPr>
      </w:pPr>
      <w:bookmarkStart w:id="127" w:name="_Toc459896393"/>
      <w:r>
        <w:t>Recommandations AMF</w:t>
      </w:r>
      <w:bookmarkEnd w:id="127"/>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3"/>
        <w:numPr>
          <w:ilvl w:val="2"/>
          <w:numId w:val="5"/>
        </w:numPr>
      </w:pPr>
      <w:bookmarkStart w:id="128" w:name="_Toc459896394"/>
      <w:r>
        <w:t>Décisions ESMA</w:t>
      </w:r>
      <w:bookmarkEnd w:id="128"/>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2"/>
        <w:numPr>
          <w:ilvl w:val="1"/>
          <w:numId w:val="5"/>
        </w:numPr>
      </w:pPr>
      <w:bookmarkStart w:id="129" w:name="_Toc459896395"/>
      <w:r>
        <w:t>Rappels sur la norme</w:t>
      </w:r>
      <w:bookmarkEnd w:id="129"/>
    </w:p>
    <w:p w:rsidR="00DC5CD9" w:rsidRDefault="00DC5CD9" w:rsidP="00DC5CD9">
      <w:pPr>
        <w:pStyle w:val="CACCorps"/>
      </w:pPr>
    </w:p>
    <w:p w:rsidR="00DC5CD9" w:rsidRDefault="00DC5CD9" w:rsidP="005F7220">
      <w:pPr>
        <w:pStyle w:val="CACTitre2"/>
        <w:numPr>
          <w:ilvl w:val="1"/>
          <w:numId w:val="5"/>
        </w:numPr>
      </w:pPr>
      <w:bookmarkStart w:id="130" w:name="_Toc459896396"/>
      <w:r>
        <w:t>Ressources mises à disposition</w:t>
      </w:r>
      <w:bookmarkEnd w:id="130"/>
    </w:p>
    <w:p w:rsidR="00DC5CD9" w:rsidRDefault="00DC5CD9" w:rsidP="00DC5CD9">
      <w:pPr>
        <w:pStyle w:val="CACCorps"/>
      </w:pPr>
    </w:p>
    <w:p w:rsidR="00DC5CD9" w:rsidRDefault="00DC5CD9" w:rsidP="00F549E8">
      <w:pPr>
        <w:pStyle w:val="CACTitre1"/>
      </w:pPr>
      <w:bookmarkStart w:id="131" w:name="_Toc459896397"/>
      <w:r>
        <w:t xml:space="preserve">IFRIC 7 – </w:t>
      </w:r>
      <w:r w:rsidRPr="003F6F31">
        <w:t>Application de l’approche du retraitement dans le cadre d’IAS 29 Information financière dans les économies hyperinflationnistes</w:t>
      </w:r>
      <w:bookmarkEnd w:id="131"/>
    </w:p>
    <w:p w:rsidR="00DC5CD9" w:rsidRPr="00DD09B7" w:rsidRDefault="00DC5CD9" w:rsidP="00DC5CD9"/>
    <w:p w:rsidR="00DC5CD9" w:rsidRDefault="00DC5CD9" w:rsidP="005F7220">
      <w:pPr>
        <w:pStyle w:val="CACTitre2"/>
        <w:numPr>
          <w:ilvl w:val="1"/>
          <w:numId w:val="5"/>
        </w:numPr>
      </w:pPr>
      <w:bookmarkStart w:id="132" w:name="_Toc459896398"/>
      <w:r>
        <w:t>Historique</w:t>
      </w:r>
      <w:bookmarkEnd w:id="132"/>
    </w:p>
    <w:p w:rsidR="00DC5CD9" w:rsidRDefault="00DC5CD9" w:rsidP="00DC5CD9">
      <w:pPr>
        <w:pStyle w:val="CACCorps"/>
      </w:pPr>
    </w:p>
    <w:p w:rsidR="00DC5CD9" w:rsidRDefault="00DC5CD9" w:rsidP="005F7220">
      <w:pPr>
        <w:pStyle w:val="CACTitre3"/>
        <w:numPr>
          <w:ilvl w:val="2"/>
          <w:numId w:val="5"/>
        </w:numPr>
      </w:pPr>
      <w:bookmarkStart w:id="133" w:name="_Toc459896399"/>
      <w:r>
        <w:t>Historique au niveau de l’Union européenne</w:t>
      </w:r>
      <w:bookmarkEnd w:id="133"/>
    </w:p>
    <w:p w:rsidR="00C21592" w:rsidRDefault="00C21592">
      <w:pPr>
        <w:jc w:val="left"/>
      </w:pPr>
      <w:r>
        <w:br w:type="page"/>
      </w:r>
    </w:p>
    <w:p w:rsidR="00DC5CD9" w:rsidRDefault="00DC5CD9" w:rsidP="002F5042">
      <w:pPr>
        <w:pStyle w:val="CACCorps"/>
      </w:pPr>
    </w:p>
    <w:tbl>
      <w:tblPr>
        <w:tblW w:w="0" w:type="auto"/>
        <w:tblInd w:w="55" w:type="dxa"/>
        <w:tblCellMar>
          <w:left w:w="70" w:type="dxa"/>
          <w:right w:w="70" w:type="dxa"/>
        </w:tblCellMar>
        <w:tblLook w:val="04A0" w:firstRow="1" w:lastRow="0" w:firstColumn="1" w:lastColumn="0" w:noHBand="0" w:noVBand="1"/>
      </w:tblPr>
      <w:tblGrid>
        <w:gridCol w:w="1312"/>
        <w:gridCol w:w="2164"/>
        <w:gridCol w:w="1172"/>
        <w:gridCol w:w="1128"/>
        <w:gridCol w:w="1162"/>
        <w:gridCol w:w="1118"/>
        <w:gridCol w:w="1099"/>
      </w:tblGrid>
      <w:tr w:rsidR="00DC5CD9" w:rsidRPr="003F6F31" w:rsidTr="00C21592">
        <w:trPr>
          <w:cantSplit/>
          <w:trHeight w:val="600"/>
          <w:tblHeader/>
        </w:trPr>
        <w:tc>
          <w:tcPr>
            <w:tcW w:w="0" w:type="auto"/>
            <w:tcBorders>
              <w:top w:val="single" w:sz="4" w:space="0" w:color="auto"/>
              <w:left w:val="single" w:sz="4" w:space="0" w:color="auto"/>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TYPE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TITRE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D'ADOPTION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D'ENTREE EN VIGUEUR IASB</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D'ADOPTION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DATE D'ENTREE EN VIGUEUR UE</w:t>
            </w:r>
          </w:p>
        </w:tc>
        <w:tc>
          <w:tcPr>
            <w:tcW w:w="0" w:type="auto"/>
            <w:tcBorders>
              <w:top w:val="single" w:sz="4" w:space="0" w:color="auto"/>
              <w:left w:val="nil"/>
              <w:bottom w:val="single" w:sz="4" w:space="0" w:color="auto"/>
              <w:right w:val="single" w:sz="4" w:space="0" w:color="auto"/>
            </w:tcBorders>
            <w:shd w:val="clear" w:color="000000" w:fill="7030A0"/>
            <w:vAlign w:val="center"/>
            <w:hideMark/>
          </w:tcPr>
          <w:p w:rsidR="00DC5CD9" w:rsidRPr="003F6F31" w:rsidRDefault="00DC5CD9" w:rsidP="00DC5CD9">
            <w:pPr>
              <w:jc w:val="center"/>
              <w:rPr>
                <w:rFonts w:eastAsia="Times New Roman" w:cs="Times New Roman"/>
                <w:b/>
                <w:bCs/>
                <w:color w:val="FFFFFF"/>
                <w:sz w:val="18"/>
                <w:szCs w:val="18"/>
                <w:lang w:eastAsia="fr-FR"/>
              </w:rPr>
            </w:pPr>
            <w:r w:rsidRPr="003F6F31">
              <w:rPr>
                <w:rFonts w:eastAsia="Times New Roman" w:cs="Times New Roman"/>
                <w:b/>
                <w:bCs/>
                <w:color w:val="FFFFFF"/>
                <w:sz w:val="18"/>
                <w:szCs w:val="18"/>
                <w:lang w:eastAsia="fr-FR"/>
              </w:rPr>
              <w:t>CARACTERE APPLICABLE</w:t>
            </w:r>
          </w:p>
        </w:tc>
      </w:tr>
      <w:tr w:rsidR="00DC5CD9" w:rsidRPr="003F6F31" w:rsidTr="00DC5CD9">
        <w:trPr>
          <w:trHeight w:val="9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Interprétation</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 xml:space="preserve">Application de l’approche du retraitement dans le cadre d’IAS 29 Information financière dans les économies hyperinflationnistes </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21/11/2005</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01/03/2006</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08/05/2006</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01/03/2006</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r w:rsidR="00DC5CD9" w:rsidRPr="003F6F31" w:rsidTr="00DC5CD9">
        <w:trPr>
          <w:trHeight w:val="600"/>
        </w:trPr>
        <w:tc>
          <w:tcPr>
            <w:tcW w:w="0" w:type="auto"/>
            <w:tcBorders>
              <w:top w:val="nil"/>
              <w:left w:val="single" w:sz="4" w:space="0" w:color="auto"/>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Amendement de cohérence des normes</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left"/>
              <w:rPr>
                <w:rFonts w:eastAsia="Times New Roman" w:cs="Times New Roman"/>
                <w:color w:val="000000"/>
                <w:sz w:val="18"/>
                <w:szCs w:val="18"/>
                <w:lang w:eastAsia="fr-FR"/>
              </w:rPr>
            </w:pPr>
            <w:r w:rsidRPr="003F6F31">
              <w:rPr>
                <w:rFonts w:eastAsia="Times New Roman" w:cs="Times New Roman"/>
                <w:color w:val="000000"/>
                <w:sz w:val="18"/>
                <w:szCs w:val="18"/>
                <w:lang w:eastAsia="fr-FR"/>
              </w:rPr>
              <w:t>Suite à la révision d'IAS 1</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06/09/2007</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17/12/2008</w:t>
            </w:r>
          </w:p>
        </w:tc>
        <w:tc>
          <w:tcPr>
            <w:tcW w:w="0" w:type="auto"/>
            <w:tcBorders>
              <w:top w:val="nil"/>
              <w:left w:val="nil"/>
              <w:bottom w:val="single" w:sz="4" w:space="0" w:color="auto"/>
              <w:right w:val="single" w:sz="4" w:space="0" w:color="auto"/>
            </w:tcBorders>
            <w:shd w:val="clear" w:color="000000" w:fill="76EF6D"/>
            <w:noWrap/>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01/01/2009</w:t>
            </w:r>
          </w:p>
        </w:tc>
        <w:tc>
          <w:tcPr>
            <w:tcW w:w="0" w:type="auto"/>
            <w:tcBorders>
              <w:top w:val="nil"/>
              <w:left w:val="nil"/>
              <w:bottom w:val="single" w:sz="4" w:space="0" w:color="auto"/>
              <w:right w:val="single" w:sz="4" w:space="0" w:color="auto"/>
            </w:tcBorders>
            <w:shd w:val="clear" w:color="000000" w:fill="76EF6D"/>
            <w:vAlign w:val="center"/>
            <w:hideMark/>
          </w:tcPr>
          <w:p w:rsidR="00DC5CD9" w:rsidRPr="003F6F31" w:rsidRDefault="00DC5CD9" w:rsidP="00DC5CD9">
            <w:pPr>
              <w:jc w:val="center"/>
              <w:rPr>
                <w:rFonts w:eastAsia="Times New Roman" w:cs="Times New Roman"/>
                <w:color w:val="000000"/>
                <w:sz w:val="18"/>
                <w:szCs w:val="18"/>
                <w:lang w:eastAsia="fr-FR"/>
              </w:rPr>
            </w:pPr>
            <w:r w:rsidRPr="003F6F31">
              <w:rPr>
                <w:rFonts w:eastAsia="Times New Roman" w:cs="Times New Roman"/>
                <w:color w:val="000000"/>
                <w:sz w:val="18"/>
                <w:szCs w:val="18"/>
                <w:lang w:eastAsia="fr-FR"/>
              </w:rPr>
              <w:t>En vigueur</w:t>
            </w:r>
          </w:p>
        </w:tc>
      </w:tr>
    </w:tbl>
    <w:p w:rsidR="00DC5CD9" w:rsidRDefault="00DC5CD9" w:rsidP="002F5042">
      <w:pPr>
        <w:pStyle w:val="CACCorps"/>
      </w:pPr>
    </w:p>
    <w:p w:rsidR="00DC5CD9" w:rsidRDefault="00DC5CD9" w:rsidP="005F7220">
      <w:pPr>
        <w:pStyle w:val="CACTitre3"/>
        <w:numPr>
          <w:ilvl w:val="2"/>
          <w:numId w:val="5"/>
        </w:numPr>
      </w:pPr>
      <w:bookmarkStart w:id="134" w:name="_Toc459896400"/>
      <w:r>
        <w:t>Textes en cours d’adoption par la Communauté européenne</w:t>
      </w:r>
      <w:bookmarkEnd w:id="134"/>
    </w:p>
    <w:p w:rsidR="00DC5CD9" w:rsidRDefault="00DC5CD9" w:rsidP="002F5042">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3"/>
        <w:numPr>
          <w:ilvl w:val="2"/>
          <w:numId w:val="5"/>
        </w:numPr>
      </w:pPr>
      <w:bookmarkStart w:id="135" w:name="_Toc459896401"/>
      <w:r>
        <w:t>Textes en cours d’adoption par l’IASB</w:t>
      </w:r>
      <w:bookmarkEnd w:id="135"/>
    </w:p>
    <w:p w:rsidR="00DC5CD9" w:rsidRDefault="00DC5CD9" w:rsidP="002F5042">
      <w:pPr>
        <w:pStyle w:val="CACCorps"/>
      </w:pPr>
    </w:p>
    <w:p w:rsidR="00DC5CD9" w:rsidRDefault="00DC5CD9" w:rsidP="00DC5CD9">
      <w:pPr>
        <w:pStyle w:val="CACCorps"/>
      </w:pPr>
      <w:r>
        <w:t>Aucun</w:t>
      </w:r>
    </w:p>
    <w:p w:rsidR="00DC5CD9" w:rsidRDefault="00DC5CD9" w:rsidP="005F7220">
      <w:pPr>
        <w:pStyle w:val="CACTitre3"/>
        <w:numPr>
          <w:ilvl w:val="2"/>
          <w:numId w:val="5"/>
        </w:numPr>
      </w:pPr>
      <w:bookmarkStart w:id="136" w:name="_Toc459896402"/>
      <w:r>
        <w:t>Projets IASB</w:t>
      </w:r>
      <w:bookmarkEnd w:id="136"/>
    </w:p>
    <w:p w:rsidR="00DC5CD9" w:rsidRDefault="00DC5CD9" w:rsidP="002F5042">
      <w:pPr>
        <w:pStyle w:val="CACCorps"/>
      </w:pPr>
    </w:p>
    <w:p w:rsidR="00DC5CD9" w:rsidRDefault="00DC5CD9" w:rsidP="00DC5CD9">
      <w:pPr>
        <w:pStyle w:val="CACCorps"/>
      </w:pPr>
      <w:r>
        <w:t>Aucun</w:t>
      </w:r>
    </w:p>
    <w:p w:rsidR="00DC5CD9" w:rsidRDefault="00DC5CD9" w:rsidP="002F5042">
      <w:pPr>
        <w:pStyle w:val="CACCorps"/>
      </w:pPr>
    </w:p>
    <w:p w:rsidR="00DC5CD9" w:rsidRDefault="00DC5CD9" w:rsidP="005F7220">
      <w:pPr>
        <w:pStyle w:val="CACTitre2"/>
        <w:numPr>
          <w:ilvl w:val="1"/>
          <w:numId w:val="5"/>
        </w:numPr>
      </w:pPr>
      <w:bookmarkStart w:id="137" w:name="_Toc459896403"/>
      <w:r>
        <w:t>Normes et interprétations liées</w:t>
      </w:r>
      <w:bookmarkEnd w:id="137"/>
    </w:p>
    <w:p w:rsidR="00DC5CD9" w:rsidRDefault="00DC5CD9" w:rsidP="00DC5CD9">
      <w:pPr>
        <w:pStyle w:val="CACCorps"/>
      </w:pPr>
    </w:p>
    <w:p w:rsidR="00DC5CD9" w:rsidRPr="00DC41F1" w:rsidRDefault="00DC5CD9" w:rsidP="005F7220">
      <w:pPr>
        <w:pStyle w:val="CACCorps"/>
        <w:numPr>
          <w:ilvl w:val="0"/>
          <w:numId w:val="13"/>
        </w:numPr>
        <w:rPr>
          <w:i/>
        </w:rPr>
      </w:pPr>
      <w:r>
        <w:t>IAS 29 -</w:t>
      </w:r>
      <w:r w:rsidRPr="00DC41F1">
        <w:rPr>
          <w:i/>
        </w:rPr>
        <w:t xml:space="preserve"> Information financière dans les économies hyperinflationnistes</w:t>
      </w:r>
    </w:p>
    <w:p w:rsidR="00DC5CD9" w:rsidRDefault="00DC5CD9" w:rsidP="00C21592">
      <w:pPr>
        <w:pStyle w:val="CACCorps"/>
      </w:pPr>
    </w:p>
    <w:p w:rsidR="00DC5CD9" w:rsidRDefault="00DC5CD9" w:rsidP="005F7220">
      <w:pPr>
        <w:pStyle w:val="CACTitre2"/>
        <w:numPr>
          <w:ilvl w:val="1"/>
          <w:numId w:val="5"/>
        </w:numPr>
      </w:pPr>
      <w:bookmarkStart w:id="138" w:name="_Toc459896404"/>
      <w:r>
        <w:t>Rejets IFRIC liés</w:t>
      </w:r>
      <w:bookmarkEnd w:id="138"/>
    </w:p>
    <w:p w:rsidR="00DC5CD9" w:rsidRDefault="00DC5CD9" w:rsidP="00DC5CD9">
      <w:pPr>
        <w:pStyle w:val="CACCorps"/>
      </w:pPr>
    </w:p>
    <w:p w:rsidR="00DC5CD9" w:rsidRDefault="00DC5CD9" w:rsidP="00DC5CD9">
      <w:pPr>
        <w:pStyle w:val="CACCorps"/>
      </w:pPr>
      <w:r>
        <w:t>Aucun</w:t>
      </w:r>
    </w:p>
    <w:p w:rsidR="00DC5CD9" w:rsidRDefault="00DC5CD9" w:rsidP="00DC5CD9">
      <w:pPr>
        <w:pStyle w:val="CACCorps"/>
      </w:pPr>
    </w:p>
    <w:p w:rsidR="00DC5CD9" w:rsidRDefault="00DC5CD9" w:rsidP="005F7220">
      <w:pPr>
        <w:pStyle w:val="CACTitre2"/>
        <w:numPr>
          <w:ilvl w:val="1"/>
          <w:numId w:val="5"/>
        </w:numPr>
      </w:pPr>
      <w:bookmarkStart w:id="139" w:name="_Toc459896405"/>
      <w:r>
        <w:t>Recommandations AMF et Décisions ESMA</w:t>
      </w:r>
      <w:bookmarkEnd w:id="139"/>
    </w:p>
    <w:p w:rsidR="00DC5CD9" w:rsidRDefault="00DC5CD9" w:rsidP="00DC5CD9">
      <w:pPr>
        <w:pStyle w:val="CACCorps"/>
      </w:pPr>
    </w:p>
    <w:p w:rsidR="00DC5CD9" w:rsidRDefault="00DC5CD9" w:rsidP="005F7220">
      <w:pPr>
        <w:pStyle w:val="CACTitre3"/>
        <w:numPr>
          <w:ilvl w:val="2"/>
          <w:numId w:val="5"/>
        </w:numPr>
      </w:pPr>
      <w:bookmarkStart w:id="140" w:name="_Toc459896406"/>
      <w:r>
        <w:t>Recommandations AMF</w:t>
      </w:r>
      <w:bookmarkEnd w:id="140"/>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3"/>
        <w:numPr>
          <w:ilvl w:val="2"/>
          <w:numId w:val="5"/>
        </w:numPr>
      </w:pPr>
      <w:bookmarkStart w:id="141" w:name="_Toc459896407"/>
      <w:r>
        <w:t>Décisions ESMA</w:t>
      </w:r>
      <w:bookmarkEnd w:id="141"/>
    </w:p>
    <w:p w:rsidR="00DC5CD9" w:rsidRDefault="00DC5CD9" w:rsidP="00DC5CD9">
      <w:pPr>
        <w:pStyle w:val="CACCorps"/>
      </w:pPr>
    </w:p>
    <w:p w:rsidR="00DC5CD9" w:rsidRDefault="00DC5CD9" w:rsidP="00DC5CD9">
      <w:pPr>
        <w:pStyle w:val="CACCorps"/>
      </w:pPr>
      <w:r>
        <w:t>Aucune</w:t>
      </w:r>
    </w:p>
    <w:p w:rsidR="00DC5CD9" w:rsidRDefault="00DC5CD9" w:rsidP="00DC5CD9">
      <w:pPr>
        <w:pStyle w:val="CACCorps"/>
      </w:pPr>
    </w:p>
    <w:p w:rsidR="00DC5CD9" w:rsidRDefault="00DC5CD9" w:rsidP="005F7220">
      <w:pPr>
        <w:pStyle w:val="CACTitre2"/>
        <w:numPr>
          <w:ilvl w:val="1"/>
          <w:numId w:val="5"/>
        </w:numPr>
      </w:pPr>
      <w:bookmarkStart w:id="142" w:name="_Toc459896408"/>
      <w:r>
        <w:t>Rappels sur l’interprétation</w:t>
      </w:r>
      <w:bookmarkEnd w:id="142"/>
    </w:p>
    <w:p w:rsidR="00DC5CD9" w:rsidRDefault="00DC5CD9" w:rsidP="00DC5CD9">
      <w:pPr>
        <w:pStyle w:val="CACCorps"/>
      </w:pPr>
    </w:p>
    <w:p w:rsidR="00DC5CD9" w:rsidRDefault="00DC5CD9" w:rsidP="00DC5CD9">
      <w:pPr>
        <w:pStyle w:val="CACCorps"/>
      </w:pPr>
    </w:p>
    <w:p w:rsidR="00DC5CD9" w:rsidRDefault="00DC5CD9" w:rsidP="005F7220">
      <w:pPr>
        <w:pStyle w:val="CACTitre2"/>
        <w:numPr>
          <w:ilvl w:val="1"/>
          <w:numId w:val="5"/>
        </w:numPr>
      </w:pPr>
      <w:bookmarkStart w:id="143" w:name="_Toc459896409"/>
      <w:r>
        <w:t>Ressources mises à disposition</w:t>
      </w:r>
      <w:bookmarkEnd w:id="143"/>
    </w:p>
    <w:p w:rsidR="00DC5CD9" w:rsidRDefault="00DC5CD9" w:rsidP="00DC5CD9">
      <w:pPr>
        <w:pStyle w:val="CACCorps"/>
      </w:pPr>
    </w:p>
    <w:p w:rsidR="00C21592" w:rsidRDefault="00C21592" w:rsidP="00DC5CD9">
      <w:pPr>
        <w:pStyle w:val="CACCorps"/>
      </w:pPr>
    </w:p>
    <w:sectPr w:rsidR="00C21592" w:rsidSect="0012765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74E" w:rsidRDefault="00AB474E" w:rsidP="00706B95">
      <w:r>
        <w:separator/>
      </w:r>
    </w:p>
  </w:endnote>
  <w:endnote w:type="continuationSeparator" w:id="0">
    <w:p w:rsidR="00AB474E" w:rsidRDefault="00AB474E"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E0" w:rsidRDefault="004244E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9E8" w:rsidRDefault="00F549E8"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231EBC56" wp14:editId="6D2BFFA3">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F549E8" w:rsidRDefault="00F549E8" w:rsidP="00010881">
                          <w:pPr>
                            <w:tabs>
                              <w:tab w:val="right" w:pos="10206"/>
                            </w:tabs>
                            <w:rPr>
                              <w:b/>
                              <w:color w:val="241820" w:themeColor="accent4" w:themeShade="80"/>
                            </w:rPr>
                          </w:pPr>
                          <w:r w:rsidRPr="005C5414">
                            <w:rPr>
                              <w:b/>
                              <w:color w:val="241820" w:themeColor="accent4" w:themeShade="80"/>
                            </w:rPr>
                            <w:t xml:space="preserve">Manuel CAC – </w:t>
                          </w:r>
                          <w:r>
                            <w:rPr>
                              <w:b/>
                              <w:color w:val="241820" w:themeColor="accent4" w:themeShade="80"/>
                            </w:rPr>
                            <w:t>Août</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DC5CD9">
                            <w:rPr>
                              <w:b/>
                              <w:color w:val="241820" w:themeColor="accent4" w:themeShade="80"/>
                            </w:rPr>
                            <w:t>2310 – Présentation générale et normes transversales</w:t>
                          </w:r>
                        </w:p>
                        <w:p w:rsidR="00F549E8" w:rsidRPr="00DA2B39" w:rsidRDefault="00F549E8" w:rsidP="00010881">
                          <w:pPr>
                            <w:tabs>
                              <w:tab w:val="right" w:pos="10206"/>
                            </w:tabs>
                            <w:rPr>
                              <w:b/>
                              <w:color w:val="241820" w:themeColor="accent4" w:themeShade="80"/>
                            </w:rPr>
                          </w:pPr>
                          <w:bookmarkStart w:id="144" w:name="_GoBack"/>
                          <w:bookmarkEnd w:id="144"/>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EBC56"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F549E8" w:rsidRDefault="00F549E8" w:rsidP="00010881">
                    <w:pPr>
                      <w:tabs>
                        <w:tab w:val="right" w:pos="10206"/>
                      </w:tabs>
                      <w:rPr>
                        <w:b/>
                        <w:color w:val="241820" w:themeColor="accent4" w:themeShade="80"/>
                      </w:rPr>
                    </w:pPr>
                    <w:r w:rsidRPr="005C5414">
                      <w:rPr>
                        <w:b/>
                        <w:color w:val="241820" w:themeColor="accent4" w:themeShade="80"/>
                      </w:rPr>
                      <w:t xml:space="preserve">Manuel CAC – </w:t>
                    </w:r>
                    <w:r>
                      <w:rPr>
                        <w:b/>
                        <w:color w:val="241820" w:themeColor="accent4" w:themeShade="80"/>
                      </w:rPr>
                      <w:t>Août</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DC5CD9">
                      <w:rPr>
                        <w:b/>
                        <w:color w:val="241820" w:themeColor="accent4" w:themeShade="80"/>
                      </w:rPr>
                      <w:t>2310 – Présentation générale et normes transversales</w:t>
                    </w:r>
                  </w:p>
                  <w:p w:rsidR="00F549E8" w:rsidRPr="00DA2B39" w:rsidRDefault="00F549E8" w:rsidP="00010881">
                    <w:pPr>
                      <w:tabs>
                        <w:tab w:val="right" w:pos="10206"/>
                      </w:tabs>
                      <w:rPr>
                        <w:b/>
                        <w:color w:val="241820" w:themeColor="accent4" w:themeShade="80"/>
                      </w:rPr>
                    </w:pPr>
                    <w:bookmarkStart w:id="145" w:name="_GoBack"/>
                    <w:bookmarkEnd w:id="145"/>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67456" behindDoc="0" locked="0" layoutInCell="1" allowOverlap="1" wp14:anchorId="4BFB0C98" wp14:editId="791F1123">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22E907"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E0" w:rsidRDefault="004244E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74E" w:rsidRDefault="00AB474E" w:rsidP="00706B95">
      <w:r>
        <w:separator/>
      </w:r>
    </w:p>
  </w:footnote>
  <w:footnote w:type="continuationSeparator" w:id="0">
    <w:p w:rsidR="00AB474E" w:rsidRDefault="00AB474E" w:rsidP="0070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E0" w:rsidRDefault="004244E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9E8" w:rsidRDefault="00F549E8">
    <w:pPr>
      <w:pStyle w:val="En-tte"/>
    </w:pPr>
    <w:r>
      <w:rPr>
        <w:noProof/>
        <w:lang w:eastAsia="fr-FR"/>
      </w:rPr>
      <mc:AlternateContent>
        <mc:Choice Requires="wps">
          <w:drawing>
            <wp:anchor distT="0" distB="0" distL="114300" distR="114300" simplePos="0" relativeHeight="251659264" behindDoc="0" locked="0" layoutInCell="0" allowOverlap="1" wp14:anchorId="1887CE84" wp14:editId="2D0A4F08">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F549E8" w:rsidRPr="0058523B" w:rsidRDefault="00F549E8"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4244E0" w:rsidRPr="004244E0">
                            <w:rPr>
                              <w:b/>
                              <w:bCs/>
                              <w:noProof/>
                              <w:color w:val="FFFFFF" w:themeColor="background1"/>
                              <w:szCs w:val="20"/>
                            </w:rPr>
                            <w:t>1</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4244E0">
                            <w:rPr>
                              <w:b/>
                              <w:bCs/>
                              <w:noProof/>
                              <w:color w:val="FFFFFF" w:themeColor="background1"/>
                              <w:szCs w:val="20"/>
                            </w:rPr>
                            <w:t>22</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887CE8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F549E8" w:rsidRPr="0058523B" w:rsidRDefault="00F549E8"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4244E0" w:rsidRPr="004244E0">
                      <w:rPr>
                        <w:b/>
                        <w:bCs/>
                        <w:noProof/>
                        <w:color w:val="FFFFFF" w:themeColor="background1"/>
                        <w:szCs w:val="20"/>
                      </w:rPr>
                      <w:t>1</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4244E0">
                      <w:rPr>
                        <w:b/>
                        <w:bCs/>
                        <w:noProof/>
                        <w:color w:val="FFFFFF" w:themeColor="background1"/>
                        <w:szCs w:val="20"/>
                      </w:rPr>
                      <w:t>22</w:t>
                    </w:r>
                    <w:r>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7F86BEC5" wp14:editId="6F5175BD">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4EE51F"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E0" w:rsidRDefault="00424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C236A"/>
    <w:multiLevelType w:val="hybridMultilevel"/>
    <w:tmpl w:val="BE62591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15:restartNumberingAfterBreak="0">
    <w:nsid w:val="229A180F"/>
    <w:multiLevelType w:val="hybridMultilevel"/>
    <w:tmpl w:val="44B2E08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 w15:restartNumberingAfterBreak="0">
    <w:nsid w:val="289A5937"/>
    <w:multiLevelType w:val="hybridMultilevel"/>
    <w:tmpl w:val="991C2EC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15:restartNumberingAfterBreak="0">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E854E5"/>
    <w:multiLevelType w:val="hybridMultilevel"/>
    <w:tmpl w:val="141A74C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 w15:restartNumberingAfterBreak="0">
    <w:nsid w:val="569D7B84"/>
    <w:multiLevelType w:val="hybridMultilevel"/>
    <w:tmpl w:val="9AAAE55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 w15:restartNumberingAfterBreak="0">
    <w:nsid w:val="5AF5354F"/>
    <w:multiLevelType w:val="hybridMultilevel"/>
    <w:tmpl w:val="BCE408C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15:restartNumberingAfterBreak="0">
    <w:nsid w:val="7D1A20AD"/>
    <w:multiLevelType w:val="multilevel"/>
    <w:tmpl w:val="EEEEDE34"/>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3"/>
  </w:num>
  <w:num w:numId="3">
    <w:abstractNumId w:val="4"/>
  </w:num>
  <w:num w:numId="4">
    <w:abstractNumId w:val="8"/>
  </w:num>
  <w:num w:numId="5">
    <w:abstractNumId w:val="8"/>
  </w:num>
  <w:num w:numId="6">
    <w:abstractNumId w:val="8"/>
  </w:num>
  <w:num w:numId="7">
    <w:abstractNumId w:val="8"/>
  </w:num>
  <w:num w:numId="8">
    <w:abstractNumId w:val="8"/>
  </w:num>
  <w:num w:numId="9">
    <w:abstractNumId w:val="7"/>
  </w:num>
  <w:num w:numId="10">
    <w:abstractNumId w:val="5"/>
  </w:num>
  <w:num w:numId="11">
    <w:abstractNumId w:val="6"/>
  </w:num>
  <w:num w:numId="12">
    <w:abstractNumId w:val="1"/>
  </w:num>
  <w:num w:numId="13">
    <w:abstractNumId w:val="0"/>
  </w:num>
  <w:num w:numId="14">
    <w:abstractNumId w:val="2"/>
  </w:num>
  <w:num w:numId="15">
    <w:abstractNumId w:val="8"/>
  </w:num>
  <w:num w:numId="16">
    <w:abstractNumId w:val="8"/>
  </w:num>
  <w:num w:numId="17">
    <w:abstractNumId w:val="8"/>
  </w:num>
  <w:num w:numId="18">
    <w:abstractNumId w:val="8"/>
  </w:num>
  <w:num w:numId="19">
    <w:abstractNumId w:val="8"/>
  </w:num>
  <w:num w:numId="20">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C1673"/>
    <w:rsid w:val="000D236B"/>
    <w:rsid w:val="000D6C13"/>
    <w:rsid w:val="00116522"/>
    <w:rsid w:val="001231AF"/>
    <w:rsid w:val="0012765C"/>
    <w:rsid w:val="00165177"/>
    <w:rsid w:val="001A2723"/>
    <w:rsid w:val="001B0BCE"/>
    <w:rsid w:val="00223A30"/>
    <w:rsid w:val="00232D74"/>
    <w:rsid w:val="00235B02"/>
    <w:rsid w:val="0027523B"/>
    <w:rsid w:val="00283853"/>
    <w:rsid w:val="0028777F"/>
    <w:rsid w:val="002A06C9"/>
    <w:rsid w:val="002C3791"/>
    <w:rsid w:val="002C594E"/>
    <w:rsid w:val="002D4C6D"/>
    <w:rsid w:val="002F4958"/>
    <w:rsid w:val="002F5042"/>
    <w:rsid w:val="00370257"/>
    <w:rsid w:val="00374FE8"/>
    <w:rsid w:val="00396A8D"/>
    <w:rsid w:val="003B7949"/>
    <w:rsid w:val="003C0504"/>
    <w:rsid w:val="003E5E9F"/>
    <w:rsid w:val="00400B7A"/>
    <w:rsid w:val="00405446"/>
    <w:rsid w:val="004210AD"/>
    <w:rsid w:val="004244E0"/>
    <w:rsid w:val="00453544"/>
    <w:rsid w:val="00464668"/>
    <w:rsid w:val="00470965"/>
    <w:rsid w:val="0048204F"/>
    <w:rsid w:val="0049164E"/>
    <w:rsid w:val="00507E43"/>
    <w:rsid w:val="00510FB1"/>
    <w:rsid w:val="005309CE"/>
    <w:rsid w:val="0058523B"/>
    <w:rsid w:val="00590552"/>
    <w:rsid w:val="005C4DDC"/>
    <w:rsid w:val="005C5414"/>
    <w:rsid w:val="005D1AC7"/>
    <w:rsid w:val="005F7220"/>
    <w:rsid w:val="00656DF2"/>
    <w:rsid w:val="00684825"/>
    <w:rsid w:val="00696A07"/>
    <w:rsid w:val="006A665B"/>
    <w:rsid w:val="006B0623"/>
    <w:rsid w:val="00706B95"/>
    <w:rsid w:val="007430C0"/>
    <w:rsid w:val="00747FC1"/>
    <w:rsid w:val="0079078B"/>
    <w:rsid w:val="007B72A5"/>
    <w:rsid w:val="007E0487"/>
    <w:rsid w:val="00822370"/>
    <w:rsid w:val="00827DD2"/>
    <w:rsid w:val="0086530A"/>
    <w:rsid w:val="008B1B1A"/>
    <w:rsid w:val="008C3C87"/>
    <w:rsid w:val="00917252"/>
    <w:rsid w:val="00952337"/>
    <w:rsid w:val="00985251"/>
    <w:rsid w:val="009F2684"/>
    <w:rsid w:val="00A12123"/>
    <w:rsid w:val="00A157BB"/>
    <w:rsid w:val="00A521C4"/>
    <w:rsid w:val="00A94979"/>
    <w:rsid w:val="00A97E14"/>
    <w:rsid w:val="00AA5D89"/>
    <w:rsid w:val="00AB474E"/>
    <w:rsid w:val="00AB6EEF"/>
    <w:rsid w:val="00AE6E57"/>
    <w:rsid w:val="00AE782A"/>
    <w:rsid w:val="00AF3C27"/>
    <w:rsid w:val="00B66734"/>
    <w:rsid w:val="00BA15AB"/>
    <w:rsid w:val="00BC0BFC"/>
    <w:rsid w:val="00BE37AB"/>
    <w:rsid w:val="00BF15E4"/>
    <w:rsid w:val="00BF1BD6"/>
    <w:rsid w:val="00C03DD0"/>
    <w:rsid w:val="00C17ACF"/>
    <w:rsid w:val="00C21592"/>
    <w:rsid w:val="00C404FC"/>
    <w:rsid w:val="00C41132"/>
    <w:rsid w:val="00C436FD"/>
    <w:rsid w:val="00C802FA"/>
    <w:rsid w:val="00CA35AB"/>
    <w:rsid w:val="00CA45DC"/>
    <w:rsid w:val="00CD4EF4"/>
    <w:rsid w:val="00CF0659"/>
    <w:rsid w:val="00D4068A"/>
    <w:rsid w:val="00D47C40"/>
    <w:rsid w:val="00D66390"/>
    <w:rsid w:val="00DA2B39"/>
    <w:rsid w:val="00DC55AF"/>
    <w:rsid w:val="00DC5CD9"/>
    <w:rsid w:val="00E00632"/>
    <w:rsid w:val="00E50D53"/>
    <w:rsid w:val="00E50D9E"/>
    <w:rsid w:val="00E64FC3"/>
    <w:rsid w:val="00E74A62"/>
    <w:rsid w:val="00EB04D7"/>
    <w:rsid w:val="00EB2DBB"/>
    <w:rsid w:val="00EB3AEC"/>
    <w:rsid w:val="00EC2488"/>
    <w:rsid w:val="00EE5E04"/>
    <w:rsid w:val="00EF2621"/>
    <w:rsid w:val="00F00733"/>
    <w:rsid w:val="00F04F2D"/>
    <w:rsid w:val="00F05CB7"/>
    <w:rsid w:val="00F178CD"/>
    <w:rsid w:val="00F360EB"/>
    <w:rsid w:val="00F549E8"/>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A1DDACC-CD3D-4A98-998B-09E8BD9B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F549E8"/>
    <w:pPr>
      <w:numPr>
        <w:numId w:val="1"/>
      </w:numPr>
    </w:pPr>
    <w:rPr>
      <w:b/>
      <w:caps/>
      <w:color w:val="7030A0"/>
      <w:sz w:val="28"/>
    </w:rPr>
  </w:style>
  <w:style w:type="character" w:customStyle="1" w:styleId="CACTitre1Car0">
    <w:name w:val="CAC.Titre 1 Car"/>
    <w:basedOn w:val="ParagraphedelisteCar"/>
    <w:link w:val="CACTitre1"/>
    <w:rsid w:val="00F549E8"/>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Borders>
        <w:top w:val="single" w:sz="8" w:space="0" w:color="612C51" w:themeColor="accent1"/>
        <w:left w:val="single" w:sz="8" w:space="0" w:color="612C51" w:themeColor="accent1"/>
        <w:bottom w:val="single" w:sz="8" w:space="0" w:color="612C51" w:themeColor="accent1"/>
        <w:right w:val="single" w:sz="8" w:space="0" w:color="612C51" w:themeColor="accent1"/>
      </w:tblBorders>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Outils%20et%20mod&#232;les/AUTRES%20MISSIONS/Q/QF/QFG/QFG10.X001.xls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Présentation générale et normes transversales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F75D19-862F-4826-AC88-AEB38AD17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5765</Words>
  <Characters>31709</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Chapitre 2310</vt:lpstr>
    </vt:vector>
  </TitlesOfParts>
  <Company>Microsoft</Company>
  <LinksUpToDate>false</LinksUpToDate>
  <CharactersWithSpaces>37400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2310</dc:title>
  <dc:creator>ATH</dc:creator>
  <cp:lastModifiedBy>SCHNELL Aurelie</cp:lastModifiedBy>
  <cp:revision>6</cp:revision>
  <cp:lastPrinted>2016-05-25T09:36:00Z</cp:lastPrinted>
  <dcterms:created xsi:type="dcterms:W3CDTF">2016-05-27T14:51:00Z</dcterms:created>
  <dcterms:modified xsi:type="dcterms:W3CDTF">2020-11-19T14:41:00Z</dcterms:modified>
</cp:coreProperties>
</file>